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="157" w:beforeLines="50" w:afterLines="0" w:line="360" w:lineRule="auto"/>
        <w:ind w:left="565" w:hanging="565" w:hangingChars="202"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2-4</w:t>
      </w:r>
    </w:p>
    <w:p>
      <w:pPr>
        <w:spacing w:line="480" w:lineRule="auto"/>
        <w:jc w:val="center"/>
        <w:outlineLvl w:val="0"/>
        <w:rPr>
          <w:rFonts w:hint="eastAsia" w:ascii="黑体" w:hAnsi="黑体" w:eastAsia="黑体"/>
          <w:sz w:val="36"/>
        </w:rPr>
      </w:pPr>
      <w:r>
        <w:rPr>
          <w:rFonts w:ascii="黑体" w:hAnsi="黑体" w:eastAsia="黑体"/>
          <w:sz w:val="36"/>
          <w:u w:val="single"/>
        </w:rPr>
        <w:t>XX</w:t>
      </w:r>
      <w:r>
        <w:rPr>
          <w:rFonts w:hint="eastAsia" w:ascii="黑体" w:hAnsi="黑体" w:eastAsia="黑体"/>
          <w:sz w:val="36"/>
          <w:u w:val="single"/>
        </w:rPr>
        <w:t>企业</w:t>
      </w:r>
      <w:r>
        <w:rPr>
          <w:rFonts w:hint="eastAsia" w:ascii="黑体" w:hAnsi="黑体" w:eastAsia="黑体"/>
          <w:sz w:val="36"/>
        </w:rPr>
        <w:t>2</w:t>
      </w:r>
      <w:r>
        <w:rPr>
          <w:rFonts w:ascii="黑体" w:hAnsi="黑体" w:eastAsia="黑体"/>
          <w:sz w:val="36"/>
        </w:rPr>
        <w:t>019</w:t>
      </w:r>
      <w:r>
        <w:rPr>
          <w:rFonts w:hint="eastAsia" w:ascii="黑体" w:hAnsi="黑体" w:eastAsia="黑体"/>
          <w:sz w:val="36"/>
        </w:rPr>
        <w:t>年度专项诊断服务单位名单</w:t>
      </w:r>
    </w:p>
    <w:tbl>
      <w:tblPr>
        <w:tblStyle w:val="4"/>
        <w:tblW w:w="14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94"/>
        <w:gridCol w:w="794"/>
        <w:gridCol w:w="794"/>
        <w:gridCol w:w="794"/>
        <w:gridCol w:w="1701"/>
        <w:gridCol w:w="1020"/>
        <w:gridCol w:w="1191"/>
        <w:gridCol w:w="1417"/>
        <w:gridCol w:w="1928"/>
        <w:gridCol w:w="1191"/>
        <w:gridCol w:w="1984"/>
      </w:tblGrid>
      <w:tr>
        <w:trPr>
          <w:cantSplit/>
          <w:trHeight w:val="1417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</w:p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省份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地市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区县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行业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下属单位名称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组织机构代码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主要产品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及上年度产量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上年度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企业总产值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1928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上年度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综合能源消费量</w:t>
            </w:r>
          </w:p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（万吨标准煤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上年度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单位产品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综合能耗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专项节能诊断</w:t>
            </w:r>
          </w:p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主要内容</w:t>
            </w:r>
          </w:p>
        </w:tc>
      </w:tr>
      <w:tr>
        <w:trPr>
          <w:trHeight w:val="567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napToGrid w:val="0"/>
        <w:spacing w:before="157" w:beforeLines="50" w:afterLines="0" w:line="240" w:lineRule="auto"/>
        <w:outlineLvl w:val="0"/>
        <w:rPr>
          <w:rFonts w:hint="eastAsia"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注</w:t>
      </w:r>
      <w:r>
        <w:rPr>
          <w:rFonts w:hint="eastAsia" w:ascii="仿宋_GB2312" w:hAnsi="仿宋_GB2312" w:eastAsia="仿宋_GB2312"/>
          <w:sz w:val="28"/>
          <w:szCs w:val="28"/>
        </w:rPr>
        <w:t>：1.</w:t>
      </w:r>
      <w:r>
        <w:rPr>
          <w:rFonts w:hint="default" w:ascii="仿宋_GB2312" w:hAnsi="仿宋_GB2312" w:eastAsia="仿宋_GB2312"/>
          <w:sz w:val="28"/>
          <w:szCs w:val="28"/>
        </w:rPr>
        <w:t>所</w:t>
      </w:r>
      <w:r>
        <w:rPr>
          <w:rFonts w:hint="eastAsia" w:ascii="仿宋_GB2312" w:hAnsi="仿宋_GB2312" w:eastAsia="仿宋_GB2312"/>
          <w:sz w:val="28"/>
          <w:szCs w:val="28"/>
        </w:rPr>
        <w:t>属单位</w:t>
      </w:r>
      <w:r>
        <w:rPr>
          <w:rFonts w:hint="default" w:ascii="仿宋_GB2312" w:hAnsi="仿宋_GB2312" w:eastAsia="仿宋_GB2312"/>
          <w:sz w:val="28"/>
          <w:szCs w:val="28"/>
        </w:rPr>
        <w:t>为</w:t>
      </w:r>
      <w:r>
        <w:rPr>
          <w:rFonts w:hint="eastAsia" w:ascii="仿宋_GB2312" w:hAnsi="仿宋_GB2312" w:eastAsia="仿宋_GB2312"/>
          <w:sz w:val="28"/>
          <w:szCs w:val="28"/>
        </w:rPr>
        <w:t>非独立法人的可以不填写组织机构代码；</w:t>
      </w:r>
    </w:p>
    <w:p>
      <w:pPr>
        <w:snapToGrid w:val="0"/>
        <w:spacing w:line="240" w:lineRule="auto"/>
        <w:ind w:left="566"/>
        <w:outlineLvl w:val="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2.企业可根据情况组织技术力量开展诊断，或引入第三方市场化组织进行诊断；</w:t>
      </w:r>
    </w:p>
    <w:p>
      <w:pPr>
        <w:snapToGrid w:val="0"/>
        <w:spacing w:line="240" w:lineRule="auto"/>
        <w:ind w:left="566"/>
        <w:outlineLvl w:val="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3.鼓励实施全覆盖专项诊断，也鼓励选择特定工序环节或工艺装备开展专项诊断，相关情况可在“专项节能诊断主要内容”一栏说明。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CBF623"/>
    <w:rsid w:val="73FFF416"/>
    <w:rsid w:val="DEBF8421"/>
    <w:rsid w:val="FECBF6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2019-07-15T16:44:00Z</dcterms:created>
  <dc:creator>李晨</dc:creator>
  <cp:lastModifiedBy>李晨</cp:lastModifiedBy>
  <dcterms:modified xsi:type="dcterms:W3CDTF">2019-07-15T16:48:09Z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