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adjustRightInd w:val="0"/>
        <w:snapToGrid w:val="0"/>
        <w:spacing w:line="580" w:lineRule="exact"/>
        <w:jc w:val="left"/>
        <w:outlineLvl w:val="0"/>
        <w:rPr>
          <w:rFonts w:hint="eastAsia" w:ascii="黑体" w:hAnsi="黑体" w:eastAsia="黑体" w:cs="黑体"/>
          <w:sz w:val="32"/>
          <w:szCs w:val="32"/>
          <w:highlight w:val="none"/>
        </w:rPr>
      </w:pPr>
      <w:bookmarkStart w:id="28" w:name="_GoBack"/>
      <w:bookmarkEnd w:id="28"/>
      <w:bookmarkStart w:id="0" w:name="_Toc28057"/>
      <w:bookmarkStart w:id="1" w:name="_Hlk73024556"/>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bookmarkEnd w:id="0"/>
    </w:p>
    <w:p>
      <w:pPr>
        <w:widowControl/>
        <w:adjustRightInd w:val="0"/>
        <w:snapToGrid w:val="0"/>
        <w:spacing w:line="580" w:lineRule="exact"/>
        <w:jc w:val="left"/>
        <w:outlineLvl w:val="0"/>
        <w:rPr>
          <w:rFonts w:hint="default" w:ascii="Times New Roman" w:hAnsi="Times New Roman" w:eastAsia="黑体" w:cs="Times New Roman"/>
          <w:sz w:val="32"/>
          <w:szCs w:val="32"/>
          <w:highlight w:val="none"/>
        </w:rPr>
      </w:pPr>
    </w:p>
    <w:p>
      <w:pPr>
        <w:widowControl/>
        <w:adjustRightInd w:val="0"/>
        <w:snapToGrid w:val="0"/>
        <w:jc w:val="center"/>
        <w:outlineLvl w:val="0"/>
        <w:rPr>
          <w:rFonts w:hint="default" w:ascii="Times New Roman" w:hAnsi="Times New Roman" w:eastAsia="方正小标宋_GBK" w:cs="Times New Roman"/>
          <w:color w:val="000000"/>
          <w:kern w:val="0"/>
          <w:sz w:val="36"/>
          <w:szCs w:val="36"/>
          <w:highlight w:val="none"/>
        </w:rPr>
      </w:pPr>
      <w:bookmarkStart w:id="2" w:name="_Toc6543"/>
      <w:r>
        <w:rPr>
          <w:rFonts w:hint="default" w:ascii="Times New Roman" w:hAnsi="Times New Roman" w:eastAsia="方正小标宋_GBK" w:cs="Times New Roman"/>
          <w:color w:val="000000"/>
          <w:kern w:val="0"/>
          <w:sz w:val="36"/>
          <w:szCs w:val="36"/>
          <w:highlight w:val="none"/>
          <w:lang w:val="en-US" w:eastAsia="zh-CN"/>
        </w:rPr>
        <w:t>重大环保技术装备</w:t>
      </w:r>
      <w:r>
        <w:rPr>
          <w:rFonts w:hint="default" w:ascii="Times New Roman" w:hAnsi="Times New Roman" w:eastAsia="方正小标宋_GBK" w:cs="Times New Roman"/>
          <w:color w:val="000000"/>
          <w:kern w:val="0"/>
          <w:sz w:val="36"/>
          <w:szCs w:val="36"/>
          <w:highlight w:val="none"/>
        </w:rPr>
        <w:t>创新任务揭榜挂帅</w:t>
      </w:r>
      <w:bookmarkEnd w:id="2"/>
      <w:bookmarkStart w:id="3" w:name="_Toc27595"/>
      <w:r>
        <w:rPr>
          <w:rFonts w:hint="default" w:ascii="Times New Roman" w:hAnsi="Times New Roman" w:eastAsia="方正小标宋_GBK" w:cs="Times New Roman"/>
          <w:color w:val="000000"/>
          <w:kern w:val="0"/>
          <w:sz w:val="36"/>
          <w:szCs w:val="36"/>
          <w:highlight w:val="none"/>
        </w:rPr>
        <w:t>申报指南</w:t>
      </w:r>
      <w:bookmarkEnd w:id="3"/>
    </w:p>
    <w:p>
      <w:pPr>
        <w:spacing w:line="580" w:lineRule="exact"/>
        <w:rPr>
          <w:rFonts w:hint="default" w:ascii="Times New Roman" w:hAnsi="Times New Roman" w:eastAsia="楷体" w:cs="Times New Roman"/>
          <w:b/>
          <w:bCs/>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left="643"/>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一、重点整机、成套装备</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eastAsia" w:ascii="楷体_GB2312" w:hAnsi="楷体_GB2312" w:eastAsia="楷体_GB2312" w:cs="楷体_GB2312"/>
          <w:b w:val="0"/>
          <w:bCs/>
          <w:sz w:val="32"/>
          <w:szCs w:val="32"/>
          <w:highlight w:val="none"/>
        </w:rPr>
      </w:pPr>
      <w:bookmarkStart w:id="4" w:name="_Toc23282"/>
      <w:r>
        <w:rPr>
          <w:rFonts w:hint="eastAsia" w:ascii="楷体_GB2312" w:hAnsi="楷体_GB2312" w:eastAsia="楷体_GB2312" w:cs="楷体_GB2312"/>
          <w:b w:val="0"/>
          <w:bCs/>
          <w:sz w:val="32"/>
          <w:szCs w:val="32"/>
          <w:highlight w:val="none"/>
        </w:rPr>
        <w:t>高盐浓水废盐资源化成套技术与装备</w:t>
      </w:r>
      <w:bookmarkEnd w:id="4"/>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目前煤化工等典型行业氯化钠、硫酸钠等副产盐产量大、价值低及结晶盐中有机物含量高导致盐硝出路受限等问题，突破高盐体系下现有技术对难降解有机物的氧化上限，开发高盐体系难降解有机物高效去除关键技术，形成钙</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镁</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硅</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氟等无机污染物高效预处理、特种膜分离及高效耐盐电催化氧化等为核心的高盐浓水废盐资源化成套设备，提高结晶盐的品质和收率，实现氯化钠、硫酸钠等盐类的资源化循环利用。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到2027年完成高盐浓水废盐资源化成套技术与装备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rPr>
        <w:t>单套氧化装备处理量</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2.5t/h</w:t>
      </w:r>
      <w:r>
        <w:rPr>
          <w:rFonts w:hint="default" w:ascii="Times New Roman" w:hAnsi="Times New Roman" w:eastAsia="仿宋_GB2312" w:cs="Times New Roman"/>
          <w:bCs/>
          <w:sz w:val="32"/>
          <w:szCs w:val="32"/>
          <w:highlight w:val="none"/>
          <w:lang w:val="en-US"/>
        </w:rPr>
        <w:t>～</w:t>
      </w:r>
      <w:r>
        <w:rPr>
          <w:rFonts w:hint="eastAsia" w:ascii="Times New Roman" w:hAnsi="Times New Roman" w:eastAsia="仿宋_GB2312" w:cs="Times New Roman"/>
          <w:bCs/>
          <w:sz w:val="32"/>
          <w:szCs w:val="32"/>
          <w:highlight w:val="none"/>
          <w:lang w:val="en-US" w:eastAsia="zh-CN"/>
        </w:rPr>
        <w:t>8</w:t>
      </w:r>
      <w:r>
        <w:rPr>
          <w:rFonts w:hint="default" w:ascii="Times New Roman" w:hAnsi="Times New Roman" w:eastAsia="仿宋_GB2312" w:cs="Times New Roman"/>
          <w:bCs/>
          <w:sz w:val="32"/>
          <w:szCs w:val="32"/>
          <w:highlight w:val="none"/>
        </w:rPr>
        <w:t>t/h</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原结晶盐指标总有机碳</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TOC</w:t>
      </w:r>
      <w:r>
        <w:rPr>
          <w:rFonts w:hint="eastAsia" w:eastAsia="仿宋_GB2312" w:cs="Times New Roman"/>
          <w:bCs/>
          <w:sz w:val="32"/>
          <w:szCs w:val="32"/>
          <w:highlight w:val="none"/>
          <w:lang w:eastAsia="zh-CN"/>
        </w:rPr>
        <w:t>）含量</w:t>
      </w:r>
      <w:r>
        <w:rPr>
          <w:rFonts w:hint="default" w:ascii="Times New Roman" w:hAnsi="Times New Roman" w:eastAsia="仿宋_GB2312" w:cs="Times New Roman"/>
          <w:bCs/>
          <w:sz w:val="32"/>
          <w:szCs w:val="32"/>
          <w:highlight w:val="none"/>
        </w:rPr>
        <w:t>：200mg/kg</w:t>
      </w:r>
      <w:r>
        <w:rPr>
          <w:rFonts w:hint="default" w:ascii="Times New Roman" w:hAnsi="Times New Roman" w:eastAsia="仿宋_GB2312" w:cs="Times New Roman"/>
          <w:bCs/>
          <w:sz w:val="32"/>
          <w:szCs w:val="32"/>
          <w:highlight w:val="none"/>
          <w:lang w:val="en-US"/>
        </w:rPr>
        <w:t>～</w:t>
      </w:r>
      <w:r>
        <w:rPr>
          <w:rFonts w:hint="default" w:ascii="Times New Roman" w:hAnsi="Times New Roman" w:eastAsia="仿宋_GB2312" w:cs="Times New Roman"/>
          <w:bCs/>
          <w:sz w:val="32"/>
          <w:szCs w:val="32"/>
          <w:highlight w:val="none"/>
        </w:rPr>
        <w:t>5000mg/kg</w:t>
      </w:r>
      <w:r>
        <w:rPr>
          <w:rFonts w:hint="eastAsia" w:eastAsia="仿宋_GB2312" w:cs="Times New Roman"/>
          <w:bCs/>
          <w:sz w:val="32"/>
          <w:szCs w:val="32"/>
          <w:highlight w:val="none"/>
          <w:lang w:eastAsia="zh-CN"/>
        </w:rPr>
        <w:t>，处理后</w:t>
      </w:r>
      <w:r>
        <w:rPr>
          <w:rFonts w:hint="default" w:ascii="Times New Roman" w:hAnsi="Times New Roman" w:eastAsia="仿宋_GB2312" w:cs="Times New Roman"/>
          <w:bCs/>
          <w:sz w:val="32"/>
          <w:szCs w:val="32"/>
          <w:highlight w:val="none"/>
        </w:rPr>
        <w:t>精制盐指标TOC</w:t>
      </w:r>
      <w:r>
        <w:rPr>
          <w:rFonts w:hint="eastAsia" w:eastAsia="仿宋_GB2312" w:cs="Times New Roman"/>
          <w:bCs/>
          <w:sz w:val="32"/>
          <w:szCs w:val="32"/>
          <w:highlight w:val="none"/>
          <w:lang w:eastAsia="zh-CN"/>
        </w:rPr>
        <w:t>含量</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val="en-US" w:eastAsia="zh-CN"/>
        </w:rPr>
        <w:t>5</w:t>
      </w:r>
      <w:r>
        <w:rPr>
          <w:rFonts w:hint="default" w:ascii="Times New Roman" w:hAnsi="Times New Roman" w:eastAsia="仿宋_GB2312" w:cs="Times New Roman"/>
          <w:bCs/>
          <w:sz w:val="32"/>
          <w:szCs w:val="32"/>
          <w:highlight w:val="none"/>
        </w:rPr>
        <w:t>0mg/kg。</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5" w:name="_Toc25436"/>
      <w:r>
        <w:rPr>
          <w:rFonts w:hint="default" w:ascii="楷体_GB2312" w:hAnsi="楷体_GB2312" w:eastAsia="楷体_GB2312" w:cs="楷体_GB2312"/>
          <w:b w:val="0"/>
          <w:bCs/>
          <w:sz w:val="32"/>
          <w:szCs w:val="32"/>
          <w:highlight w:val="none"/>
        </w:rPr>
        <w:t>高浓度生物除臭技术装备</w:t>
      </w:r>
      <w:bookmarkEnd w:id="5"/>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针对常规除臭工艺处理高浓度臭气存在除臭效率低和碳排高等问题，在更加严格排放标准和双碳目标的双重维度下，研发基于新型人工合成亲水填料和新型反应器的高负荷臭气除臭技术与产品，实现高浓度</w:t>
      </w:r>
      <w:r>
        <w:rPr>
          <w:rFonts w:hint="eastAsia" w:ascii="Times New Roman" w:hAnsi="Times New Roman" w:eastAsia="仿宋_GB2312" w:cs="Times New Roman"/>
          <w:bCs/>
          <w:sz w:val="32"/>
          <w:szCs w:val="32"/>
          <w:highlight w:val="none"/>
          <w:lang w:val="en-US" w:eastAsia="zh-CN"/>
        </w:rPr>
        <w:t>臭气</w:t>
      </w:r>
      <w:r>
        <w:rPr>
          <w:rFonts w:hint="default" w:ascii="Times New Roman" w:hAnsi="Times New Roman" w:eastAsia="仿宋_GB2312" w:cs="Times New Roman"/>
          <w:bCs/>
          <w:sz w:val="32"/>
          <w:szCs w:val="32"/>
          <w:highlight w:val="none"/>
        </w:rPr>
        <w:t>高效、低碳处理。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outlineLvl w:val="9"/>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w:t>
      </w:r>
      <w:r>
        <w:rPr>
          <w:rFonts w:hint="eastAsia" w:eastAsia="仿宋_GB2312" w:cs="Times New Roman"/>
          <w:bCs/>
          <w:sz w:val="32"/>
          <w:szCs w:val="32"/>
          <w:highlight w:val="none"/>
          <w:lang w:val="en-US" w:eastAsia="zh-CN"/>
        </w:rPr>
        <w:t>完成</w:t>
      </w:r>
      <w:r>
        <w:rPr>
          <w:rFonts w:hint="eastAsia" w:ascii="仿宋_GB2312" w:hAnsi="仿宋_GB2312" w:eastAsia="仿宋_GB2312" w:cs="仿宋_GB2312"/>
          <w:b w:val="0"/>
          <w:bCs/>
          <w:sz w:val="32"/>
          <w:szCs w:val="32"/>
          <w:highlight w:val="none"/>
        </w:rPr>
        <w:t>高浓度生物除臭技术装备</w:t>
      </w:r>
      <w:r>
        <w:rPr>
          <w:rFonts w:hint="eastAsia" w:ascii="仿宋_GB2312" w:hAnsi="仿宋_GB2312" w:eastAsia="仿宋_GB2312" w:cs="仿宋_GB2312"/>
          <w:b w:val="0"/>
          <w:bCs/>
          <w:sz w:val="32"/>
          <w:szCs w:val="32"/>
          <w:highlight w:val="none"/>
          <w:lang w:val="en-US" w:eastAsia="zh-CN"/>
        </w:rPr>
        <w:t>研制。实现</w:t>
      </w:r>
      <w:r>
        <w:rPr>
          <w:rFonts w:hint="default" w:ascii="Times New Roman" w:hAnsi="Times New Roman" w:eastAsia="仿宋_GB2312" w:cs="Times New Roman"/>
          <w:bCs/>
          <w:sz w:val="32"/>
          <w:szCs w:val="32"/>
          <w:highlight w:val="none"/>
        </w:rPr>
        <w:t>反应器平均负荷≥100gH</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S/m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·h，进气平均硫化氢≥500mg/m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，硫化氢去除率≥99%（硫化氢浓度高于500mg/m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工况条件下）</w:t>
      </w:r>
      <w:r>
        <w:rPr>
          <w:rFonts w:hint="default" w:ascii="Times New Roman" w:hAnsi="Times New Roman" w:eastAsia="仿宋_GB2312" w:cs="Times New Roman"/>
          <w:bCs/>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6" w:name="_Toc29232"/>
      <w:r>
        <w:rPr>
          <w:rFonts w:hint="default" w:ascii="楷体_GB2312" w:hAnsi="楷体_GB2312" w:eastAsia="楷体_GB2312" w:cs="楷体_GB2312"/>
          <w:b w:val="0"/>
          <w:bCs/>
          <w:sz w:val="32"/>
          <w:szCs w:val="32"/>
          <w:highlight w:val="none"/>
        </w:rPr>
        <w:t>污水、废液中新污染物</w:t>
      </w:r>
      <w:r>
        <w:rPr>
          <w:rFonts w:hint="eastAsia" w:ascii="楷体_GB2312" w:hAnsi="楷体_GB2312" w:eastAsia="楷体_GB2312" w:cs="楷体_GB2312"/>
          <w:b w:val="0"/>
          <w:bCs/>
          <w:sz w:val="32"/>
          <w:szCs w:val="32"/>
          <w:highlight w:val="none"/>
          <w:lang w:val="en-US" w:eastAsia="zh-CN"/>
        </w:rPr>
        <w:t>去除</w:t>
      </w:r>
      <w:r>
        <w:rPr>
          <w:rFonts w:hint="default" w:ascii="楷体_GB2312" w:hAnsi="楷体_GB2312" w:eastAsia="楷体_GB2312" w:cs="楷体_GB2312"/>
          <w:b w:val="0"/>
          <w:bCs/>
          <w:sz w:val="32"/>
          <w:szCs w:val="32"/>
          <w:highlight w:val="none"/>
        </w:rPr>
        <w:t>技术装备</w:t>
      </w:r>
      <w:bookmarkEnd w:id="6"/>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针对多领域产生的新污染物治理效率低、能耗高及二次污染等问题，开发高效、低耗、可规模化应用的新污染物治理技术装备。重点针对抗生素类（如磺胺类、喹诺酮类</w:t>
      </w:r>
      <w:r>
        <w:rPr>
          <w:rFonts w:hint="eastAsia" w:ascii="Times New Roman" w:hAnsi="Times New Roman" w:eastAsia="仿宋_GB2312" w:cs="Times New Roman"/>
          <w:bCs/>
          <w:sz w:val="32"/>
          <w:szCs w:val="32"/>
        </w:rPr>
        <w:t>、四环素类</w:t>
      </w:r>
      <w:r>
        <w:rPr>
          <w:rFonts w:hint="default" w:ascii="Times New Roman" w:hAnsi="Times New Roman" w:eastAsia="仿宋_GB2312" w:cs="Times New Roman"/>
          <w:bCs/>
          <w:sz w:val="32"/>
          <w:szCs w:val="32"/>
          <w:highlight w:val="none"/>
        </w:rPr>
        <w:t>）、内分泌干扰物（双酚A、雌二醇等）、全氟化合物（PFOA/PFOS）、药品及个人护理品（PPCPs）等新污染物，开发适用于市政污水处理厂、工业园区废水、医疗废水、高危废液</w:t>
      </w:r>
      <w:r>
        <w:rPr>
          <w:rFonts w:hint="eastAsia" w:ascii="Times New Roman" w:hAnsi="Times New Roman" w:eastAsia="仿宋_GB2312" w:cs="Times New Roman"/>
          <w:bCs/>
          <w:sz w:val="32"/>
          <w:szCs w:val="32"/>
          <w:highlight w:val="none"/>
          <w:lang w:val="en-US" w:eastAsia="zh-CN"/>
        </w:rPr>
        <w:t>等</w:t>
      </w:r>
      <w:r>
        <w:rPr>
          <w:rFonts w:hint="eastAsia" w:ascii="Times New Roman" w:hAnsi="Times New Roman" w:eastAsia="仿宋_GB2312" w:cs="Times New Roman"/>
          <w:bCs/>
          <w:sz w:val="32"/>
          <w:szCs w:val="32"/>
        </w:rPr>
        <w:t>不同处理对象和处理需求</w:t>
      </w:r>
      <w:r>
        <w:rPr>
          <w:rFonts w:ascii="Times New Roman" w:hAnsi="Times New Roman" w:eastAsia="仿宋_GB2312" w:cs="Times New Roman"/>
          <w:bCs/>
          <w:sz w:val="32"/>
          <w:szCs w:val="32"/>
        </w:rPr>
        <w:t>的技术装备，</w:t>
      </w:r>
      <w:r>
        <w:rPr>
          <w:rFonts w:hint="default" w:ascii="Times New Roman" w:hAnsi="Times New Roman" w:eastAsia="仿宋_GB2312" w:cs="Times New Roman"/>
          <w:bCs/>
          <w:sz w:val="32"/>
          <w:szCs w:val="32"/>
          <w:highlight w:val="none"/>
        </w:rPr>
        <w:t>产水水质达到相关污染物排放标准及环境质量目标要求。</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到2027年完成污水、废液中新污染物治理技术装备研制，实现对目标新污染物的去除率≥90%，出水浓度达到μg/L级，连续稳定运行≥6个月。</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7" w:name="_Toc4200"/>
      <w:r>
        <w:rPr>
          <w:rFonts w:hint="default" w:ascii="楷体_GB2312" w:hAnsi="楷体_GB2312" w:eastAsia="楷体_GB2312" w:cs="楷体_GB2312"/>
          <w:b w:val="0"/>
          <w:bCs/>
          <w:sz w:val="32"/>
          <w:szCs w:val="32"/>
          <w:highlight w:val="none"/>
        </w:rPr>
        <w:t>高性能活性炭吸附净化设备</w:t>
      </w:r>
      <w:bookmarkEnd w:id="7"/>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高性能活性炭严重依赖进口的问题，突破严苛条件下的极限吸附和催化材料，开发常温状态下大气、水中低浓度甲硫醇、硫化氢、氯胺等污染物的高效净化产品，实现达标废气的除味净化材料国产化替代，提高国产产品的净化效率和耐用性。</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yellow"/>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到2027年完成高性能活性炭吸附净化设备国产化攻关及产业化</w:t>
      </w:r>
      <w:r>
        <w:rPr>
          <w:rFonts w:hint="default" w:ascii="Times New Roman" w:hAnsi="Times New Roman" w:eastAsia="仿宋_GB2312" w:cs="Times New Roman"/>
          <w:bCs/>
          <w:sz w:val="32"/>
          <w:szCs w:val="32"/>
          <w:highlight w:val="none"/>
          <w:lang w:eastAsia="zh-CN"/>
        </w:rPr>
        <w:t>应用</w:t>
      </w:r>
      <w:r>
        <w:rPr>
          <w:rFonts w:hint="default" w:ascii="Times New Roman" w:hAnsi="Times New Roman" w:eastAsia="仿宋_GB2312" w:cs="Times New Roman"/>
          <w:bCs/>
          <w:sz w:val="32"/>
          <w:szCs w:val="32"/>
          <w:highlight w:val="none"/>
          <w:lang w:val="en-US" w:eastAsia="zh-CN"/>
        </w:rPr>
        <w:t>，实现常温下对大气</w:t>
      </w:r>
      <w:r>
        <w:rPr>
          <w:rFonts w:hint="default" w:ascii="Times New Roman" w:hAnsi="Times New Roman" w:eastAsia="仿宋_GB2312" w:cs="Times New Roman"/>
          <w:bCs/>
          <w:sz w:val="32"/>
          <w:szCs w:val="32"/>
          <w:highlight w:val="none"/>
          <w:lang w:eastAsia="zh-CN"/>
        </w:rPr>
        <w:t>中</w:t>
      </w:r>
      <w:r>
        <w:rPr>
          <w:rFonts w:hint="default" w:ascii="Times New Roman" w:hAnsi="Times New Roman" w:eastAsia="仿宋_GB2312" w:cs="Times New Roman"/>
          <w:bCs/>
          <w:sz w:val="32"/>
          <w:szCs w:val="32"/>
          <w:highlight w:val="none"/>
          <w:lang w:val="en-US" w:eastAsia="zh-CN"/>
        </w:rPr>
        <w:t>甲硫醇、硫化氢净化效率＞90%，动态净化硫容＞20%（质量比）</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对水中氯胺（或实验替代物）75%分解效率的时间≤15min。</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8" w:name="_Toc19669"/>
      <w:r>
        <w:rPr>
          <w:rFonts w:hint="default" w:ascii="楷体_GB2312" w:hAnsi="楷体_GB2312" w:eastAsia="楷体_GB2312" w:cs="楷体_GB2312"/>
          <w:b w:val="0"/>
          <w:bCs/>
          <w:sz w:val="32"/>
          <w:szCs w:val="32"/>
          <w:highlight w:val="none"/>
        </w:rPr>
        <w:t>高炉煤气精脱硫及硫资源化利用技术装备</w:t>
      </w:r>
      <w:bookmarkEnd w:id="8"/>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针对钢铁行业现有燃用高炉煤气设备存在末端排口多、脱硫</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SO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设备多、能耗高、监管难度大、产生脱硫废弃物处理难度大等难题，突破高炉煤气中硫化物</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包括有机硫及无机硫</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源头深度脱除及副产物资源化利用关键技术，开发高炉煤气深度脱硫成套工艺，助力企业完成超低排放改造，实现减污降碳协同增效。</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实现单套处理气量≥1</w:t>
      </w:r>
      <w:r>
        <w:rPr>
          <w:rFonts w:hint="eastAsia" w:ascii="Times New Roman" w:hAnsi="Times New Roman" w:eastAsia="仿宋_GB2312" w:cs="Times New Roman"/>
          <w:bCs/>
          <w:sz w:val="32"/>
          <w:szCs w:val="32"/>
          <w:highlight w:val="none"/>
          <w:lang w:val="en-US" w:eastAsia="zh-CN"/>
        </w:rPr>
        <w:t>×10</w:t>
      </w:r>
      <w:r>
        <w:rPr>
          <w:rFonts w:hint="eastAsia" w:ascii="Times New Roman" w:hAnsi="Times New Roman" w:eastAsia="仿宋_GB2312" w:cs="Times New Roman"/>
          <w:bCs/>
          <w:sz w:val="32"/>
          <w:szCs w:val="32"/>
          <w:highlight w:val="none"/>
          <w:vertAlign w:val="superscript"/>
          <w:lang w:val="en-US" w:eastAsia="zh-CN"/>
        </w:rPr>
        <w:t>5</w:t>
      </w:r>
      <w:r>
        <w:rPr>
          <w:rFonts w:hint="default" w:ascii="Times New Roman" w:hAnsi="Times New Roman" w:eastAsia="仿宋_GB2312" w:cs="Times New Roman"/>
          <w:bCs/>
          <w:sz w:val="32"/>
          <w:szCs w:val="32"/>
          <w:highlight w:val="none"/>
        </w:rPr>
        <w:t>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/h，脱硫煤气总硫含量（以</w:t>
      </w:r>
      <w:r>
        <w:rPr>
          <w:rFonts w:hint="eastAsia" w:ascii="Times New Roman" w:hAnsi="Times New Roman" w:eastAsia="仿宋_GB2312" w:cs="Times New Roman"/>
          <w:bCs/>
          <w:sz w:val="32"/>
          <w:szCs w:val="32"/>
          <w:highlight w:val="none"/>
          <w:lang w:eastAsia="zh-CN"/>
        </w:rPr>
        <w:t>硫元素</w:t>
      </w:r>
      <w:r>
        <w:rPr>
          <w:rFonts w:hint="default" w:ascii="Times New Roman" w:hAnsi="Times New Roman" w:eastAsia="仿宋_GB2312" w:cs="Times New Roman"/>
          <w:bCs/>
          <w:sz w:val="32"/>
          <w:szCs w:val="32"/>
          <w:highlight w:val="none"/>
        </w:rPr>
        <w:t>计）≤20mg/Nm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，装置运行</w:t>
      </w:r>
      <w:r>
        <w:rPr>
          <w:rFonts w:hint="default" w:ascii="Times New Roman" w:hAnsi="Times New Roman" w:eastAsia="仿宋_GB2312" w:cs="Times New Roman"/>
          <w:bCs/>
          <w:sz w:val="32"/>
          <w:szCs w:val="32"/>
          <w:highlight w:val="none"/>
          <w:lang w:val="en-US" w:eastAsia="zh-CN"/>
        </w:rPr>
        <w:t>温度窗口</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150℃</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适用空速1000/h</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催化剂寿命＞1a。</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9" w:name="_Toc11458"/>
      <w:r>
        <w:rPr>
          <w:rFonts w:hint="default" w:ascii="楷体_GB2312" w:hAnsi="楷体_GB2312" w:eastAsia="楷体_GB2312" w:cs="楷体_GB2312"/>
          <w:b w:val="0"/>
          <w:bCs/>
          <w:sz w:val="32"/>
          <w:szCs w:val="32"/>
          <w:highlight w:val="none"/>
        </w:rPr>
        <w:t>大型高效流化床净化反应器</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 w:val="0"/>
          <w:bCs/>
          <w:sz w:val="32"/>
          <w:szCs w:val="32"/>
          <w:highlight w:val="none"/>
        </w:rPr>
        <w:t>聚集</w:t>
      </w:r>
      <w:r>
        <w:rPr>
          <w:rFonts w:hint="default" w:ascii="Times New Roman" w:hAnsi="Times New Roman" w:eastAsia="仿宋_GB2312" w:cs="Times New Roman"/>
          <w:bCs/>
          <w:sz w:val="32"/>
          <w:szCs w:val="32"/>
          <w:highlight w:val="none"/>
        </w:rPr>
        <w:t>大流量工业烟气干式净化对大型高效流化床净化反应器的迫切需求，研究大尺寸截面的气固高效预混技术，开发宽负荷自适应的高湍流态化技术，突破近饱和温度的智能化雾化增湿技术，实现大型高效流化床净化反应器的产品研制与示范应用。</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到2027年完成峰值烟气处理量达220万m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/h的大型高效流化床净化反应器研制与示范应用</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脱硫效率≥99%，</w:t>
      </w:r>
      <w:r>
        <w:rPr>
          <w:rFonts w:hint="eastAsia" w:ascii="Times New Roman" w:hAnsi="Times New Roman" w:eastAsia="仿宋_GB2312" w:cs="Times New Roman"/>
          <w:bCs/>
          <w:sz w:val="32"/>
          <w:szCs w:val="32"/>
          <w:highlight w:val="none"/>
          <w:lang w:eastAsia="zh-CN"/>
        </w:rPr>
        <w:t>三氧化硫</w:t>
      </w:r>
      <w:r>
        <w:rPr>
          <w:rFonts w:hint="default" w:ascii="Times New Roman" w:hAnsi="Times New Roman" w:eastAsia="仿宋_GB2312" w:cs="Times New Roman"/>
          <w:bCs/>
          <w:sz w:val="32"/>
          <w:szCs w:val="32"/>
          <w:highlight w:val="none"/>
        </w:rPr>
        <w:t>排放浓度≤5mg/Nm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eastAsia="zh-CN"/>
        </w:rPr>
        <w:t>汞</w:t>
      </w:r>
      <w:r>
        <w:rPr>
          <w:rFonts w:hint="default" w:ascii="Times New Roman" w:hAnsi="Times New Roman" w:eastAsia="仿宋_GB2312" w:cs="Times New Roman"/>
          <w:bCs/>
          <w:sz w:val="32"/>
          <w:szCs w:val="32"/>
          <w:highlight w:val="none"/>
        </w:rPr>
        <w:t>排放浓度≤3μg/Nm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，示范工程稳定运行≥2000小时。</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r>
        <w:rPr>
          <w:rFonts w:hint="default" w:ascii="楷体_GB2312" w:hAnsi="楷体_GB2312" w:eastAsia="楷体_GB2312" w:cs="楷体_GB2312"/>
          <w:b w:val="0"/>
          <w:bCs/>
          <w:sz w:val="32"/>
          <w:szCs w:val="32"/>
          <w:highlight w:val="none"/>
        </w:rPr>
        <w:t>餐饮油烟高效治理技术装备</w:t>
      </w:r>
      <w:bookmarkEnd w:id="9"/>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针对餐饮油烟组分复杂及突发性强的特点。开发高效餐饮油烟治理技术</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实现餐饮油烟</w:t>
      </w:r>
      <w:r>
        <w:rPr>
          <w:rFonts w:hint="eastAsia" w:eastAsia="仿宋_GB2312" w:cs="Times New Roman"/>
          <w:bCs/>
          <w:sz w:val="32"/>
          <w:szCs w:val="32"/>
          <w:highlight w:val="none"/>
          <w:lang w:val="en-US" w:eastAsia="zh-CN"/>
        </w:rPr>
        <w:t>的</w:t>
      </w:r>
      <w:r>
        <w:rPr>
          <w:rFonts w:hint="default" w:ascii="Times New Roman" w:hAnsi="Times New Roman" w:eastAsia="仿宋_GB2312" w:cs="Times New Roman"/>
          <w:bCs/>
          <w:sz w:val="32"/>
          <w:szCs w:val="32"/>
          <w:highlight w:val="none"/>
        </w:rPr>
        <w:t>高效低碳治理。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sz w:val="32"/>
          <w:szCs w:val="32"/>
          <w:highlight w:val="none"/>
        </w:rPr>
        <w:t>餐饮油烟高效治理技术装备</w:t>
      </w:r>
      <w:r>
        <w:rPr>
          <w:rFonts w:hint="default" w:ascii="Times New Roman" w:hAnsi="Times New Roman" w:eastAsia="仿宋_GB2312" w:cs="Times New Roman"/>
          <w:sz w:val="32"/>
          <w:szCs w:val="32"/>
          <w:highlight w:val="none"/>
          <w:lang w:val="en-US" w:eastAsia="zh-CN"/>
        </w:rPr>
        <w:t>研制</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rPr>
        <w:t>油烟净化效率≥98%</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颗粒物净化效率≥95%</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排放废气臭气浓度≤200（无量纲）</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0" w:name="_Toc32269"/>
      <w:r>
        <w:rPr>
          <w:rFonts w:hint="default" w:ascii="楷体_GB2312" w:hAnsi="楷体_GB2312" w:eastAsia="楷体_GB2312" w:cs="楷体_GB2312"/>
          <w:b w:val="0"/>
          <w:bCs/>
          <w:sz w:val="32"/>
          <w:szCs w:val="32"/>
          <w:highlight w:val="none"/>
        </w:rPr>
        <w:t>退役锂电池资源化回收成套装备</w:t>
      </w:r>
      <w:bookmarkEnd w:id="10"/>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废旧锂电池回收过程中设备安全性、稳定性差，回收率、回收纯度低等问题，通过开发密闭破碎设备、低温挥发设备、中温热解设备等关键技术，开发出退役锂电池资源化回收成套产品，实现退役锂电池高效稳定回收。</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bCs/>
          <w:sz w:val="32"/>
          <w:szCs w:val="32"/>
          <w:highlight w:val="none"/>
          <w:lang w:val="en-US" w:eastAsia="zh-CN"/>
        </w:rPr>
        <w:t>高效稳定的</w:t>
      </w:r>
      <w:r>
        <w:rPr>
          <w:rFonts w:hint="default" w:ascii="Times New Roman" w:hAnsi="Times New Roman" w:eastAsia="仿宋_GB2312" w:cs="Times New Roman"/>
          <w:bCs/>
          <w:sz w:val="32"/>
          <w:szCs w:val="32"/>
          <w:highlight w:val="none"/>
        </w:rPr>
        <w:t>退役锂电池资源化回收成套装备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实现破碎设备全密闭，锂离子回收安全可靠</w:t>
      </w:r>
      <w:r>
        <w:rPr>
          <w:rFonts w:hint="eastAsia" w:ascii="Times New Roman" w:hAnsi="Times New Roman" w:eastAsia="仿宋_GB2312" w:cs="Times New Roman"/>
          <w:bCs/>
          <w:sz w:val="32"/>
          <w:szCs w:val="32"/>
          <w:highlight w:val="none"/>
          <w:lang w:val="en-US" w:eastAsia="zh-CN"/>
        </w:rPr>
        <w:t>，单套处理规模</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val="en-US" w:eastAsia="zh-CN"/>
        </w:rPr>
        <w:t>5000吨/年（以黑粉计），</w:t>
      </w:r>
      <w:r>
        <w:rPr>
          <w:rFonts w:hint="default" w:ascii="Times New Roman" w:hAnsi="Times New Roman" w:eastAsia="仿宋_GB2312" w:cs="Times New Roman"/>
          <w:bCs/>
          <w:sz w:val="32"/>
          <w:szCs w:val="32"/>
          <w:highlight w:val="none"/>
        </w:rPr>
        <w:t>黑粉回收率≥98%</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黑粉回收纯度≥98%。</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1" w:name="_Toc25828"/>
      <w:r>
        <w:rPr>
          <w:rFonts w:hint="default" w:ascii="楷体_GB2312" w:hAnsi="楷体_GB2312" w:eastAsia="楷体_GB2312" w:cs="楷体_GB2312"/>
          <w:b w:val="0"/>
          <w:bCs/>
          <w:sz w:val="32"/>
          <w:szCs w:val="32"/>
          <w:highlight w:val="none"/>
        </w:rPr>
        <w:t>退役风电叶片原地切割成套装备</w:t>
      </w:r>
      <w:bookmarkEnd w:id="11"/>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风电项目多处于偏远地区，机位分散，整支叶片运输难度大、成本高，且现有人工切割、机械臂圆锯切割存在效率低，扬尘，噪音污染，锯片面损耗大等问题。突破自动夹持输送技术、水力切割技术、智能控制技术，开发出风电叶片智能切割产品，实现退役风电叶片野外高效无尘智能切割。</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到2027年完成退役风电叶片原地切割成套装备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叶片切割厚度≥80mm</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叶片进给速度≥500mm/min</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切割压力≥320MPa</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叶片切割效率≤3h/支。</w:t>
      </w:r>
    </w:p>
    <w:p>
      <w:pPr>
        <w:numPr>
          <w:ilvl w:val="0"/>
          <w:numId w:val="1"/>
        </w:numPr>
        <w:snapToGrid w:val="0"/>
        <w:spacing w:line="600" w:lineRule="exact"/>
        <w:ind w:firstLine="641"/>
        <w:outlineLvl w:val="0"/>
        <w:rPr>
          <w:rFonts w:hint="default" w:ascii="楷体_GB2312" w:hAnsi="楷体_GB2312" w:eastAsia="楷体_GB2312" w:cs="楷体_GB2312"/>
          <w:bCs/>
          <w:sz w:val="32"/>
          <w:szCs w:val="32"/>
          <w:highlight w:val="none"/>
        </w:rPr>
      </w:pPr>
      <w:r>
        <w:rPr>
          <w:rFonts w:hint="default" w:ascii="楷体_GB2312" w:hAnsi="楷体_GB2312" w:eastAsia="楷体_GB2312" w:cs="楷体_GB2312"/>
          <w:bCs/>
          <w:sz w:val="32"/>
          <w:szCs w:val="32"/>
          <w:highlight w:val="none"/>
        </w:rPr>
        <w:t>光伏组件层压件绿色高效分离成套技术与装备</w:t>
      </w:r>
    </w:p>
    <w:p>
      <w:pPr>
        <w:snapToGrid w:val="0"/>
        <w:spacing w:line="600" w:lineRule="exact"/>
        <w:ind w:firstLine="645"/>
        <w:rPr>
          <w:rFonts w:hint="default" w:ascii="Times New Roman" w:hAnsi="Times New Roman" w:eastAsia="仿宋_GB2312"/>
          <w:b w:val="0"/>
          <w:bCs/>
          <w:sz w:val="32"/>
          <w:szCs w:val="32"/>
          <w:highlight w:val="none"/>
        </w:rPr>
      </w:pPr>
      <w:r>
        <w:rPr>
          <w:rFonts w:hint="default" w:ascii="Times New Roman" w:hAnsi="Times New Roman" w:eastAsia="仿宋_GB2312"/>
          <w:b/>
          <w:bCs w:val="0"/>
          <w:sz w:val="32"/>
          <w:szCs w:val="32"/>
          <w:highlight w:val="none"/>
        </w:rPr>
        <w:t>揭榜任务：</w:t>
      </w:r>
      <w:r>
        <w:rPr>
          <w:rFonts w:hint="default" w:ascii="Times New Roman" w:hAnsi="Times New Roman" w:eastAsia="仿宋_GB2312"/>
          <w:b w:val="0"/>
          <w:bCs/>
          <w:sz w:val="32"/>
          <w:szCs w:val="32"/>
          <w:highlight w:val="none"/>
        </w:rPr>
        <w:t>针对光伏组件综合利用行业面临的层压件分离困难、既有层压件分离技术难以兼顾高效性、环保性与回收比例等问题，突破现有技术体系下对胶膜、背板等含污染因子有机物的回收比例上限，开发高效、环保的去胶膜粘结力关键技术，形成氟、铅等污染因子高效预处理及层压件有机物保持可回收性等为核心的层压件绿色高效分离成套设备，提高光伏组件层压件分离效率，提高层压件污染因子有效处理比例，实现层压件中的电池片、玻璃、胶膜、背板、金属材料等高比例资源化综合利用。</w:t>
      </w:r>
    </w:p>
    <w:p>
      <w:pPr>
        <w:numPr>
          <w:ilvl w:val="0"/>
          <w:numId w:val="0"/>
        </w:numPr>
        <w:snapToGrid w:val="0"/>
        <w:spacing w:beforeLines="0" w:afterLines="0" w:line="600" w:lineRule="exact"/>
        <w:ind w:left="0" w:firstLine="643" w:firstLineChars="200"/>
        <w:outlineLvl w:val="0"/>
        <w:rPr>
          <w:rFonts w:hint="default" w:ascii="楷体_GB2312" w:hAnsi="楷体_GB2312" w:eastAsia="楷体_GB2312" w:cs="楷体_GB2312"/>
          <w:bCs/>
          <w:sz w:val="32"/>
          <w:szCs w:val="32"/>
          <w:highlight w:val="none"/>
        </w:rPr>
      </w:pPr>
      <w:r>
        <w:rPr>
          <w:rFonts w:hint="default" w:ascii="Times New Roman" w:hAnsi="Times New Roman" w:eastAsia="仿宋_GB2312"/>
          <w:b/>
          <w:bCs w:val="0"/>
          <w:sz w:val="32"/>
          <w:szCs w:val="32"/>
          <w:highlight w:val="none"/>
        </w:rPr>
        <w:t>预期目标：</w:t>
      </w:r>
      <w:bookmarkStart w:id="12" w:name="_Toc22119"/>
      <w:r>
        <w:rPr>
          <w:rFonts w:hint="default" w:ascii="Times New Roman" w:hAnsi="Times New Roman" w:eastAsia="仿宋_GB2312"/>
          <w:b w:val="0"/>
          <w:bCs/>
          <w:sz w:val="32"/>
          <w:szCs w:val="32"/>
          <w:highlight w:val="none"/>
        </w:rPr>
        <w:t>到2027年完成光伏组件层压件绿色高效分离技术与装备研制。层压件材料的分离时间小于25min/片或小于4h/吨，能耗小于100kwh/吨，玻璃、硅材料、银、铜、锡回收率不低于99%，背板和胶膜的资源化率不低于99%，氟等污染因子有效处理比例高于98%，铅的污染因子有效处理比例高于99%。</w:t>
      </w:r>
    </w:p>
    <w:p>
      <w:pPr>
        <w:numPr>
          <w:ilvl w:val="0"/>
          <w:numId w:val="1"/>
        </w:numPr>
        <w:snapToGrid w:val="0"/>
        <w:spacing w:line="600" w:lineRule="exact"/>
        <w:ind w:firstLine="641" w:firstLineChars="0"/>
        <w:outlineLvl w:val="0"/>
        <w:rPr>
          <w:rFonts w:hint="default" w:ascii="楷体_GB2312" w:hAnsi="楷体_GB2312" w:eastAsia="楷体_GB2312" w:cs="楷体_GB2312"/>
          <w:bCs/>
          <w:sz w:val="32"/>
          <w:szCs w:val="32"/>
          <w:highlight w:val="none"/>
        </w:rPr>
      </w:pPr>
      <w:r>
        <w:rPr>
          <w:rFonts w:hint="default" w:ascii="楷体_GB2312" w:hAnsi="楷体_GB2312" w:eastAsia="楷体_GB2312" w:cs="楷体_GB2312"/>
          <w:bCs/>
          <w:sz w:val="32"/>
          <w:szCs w:val="32"/>
          <w:highlight w:val="none"/>
        </w:rPr>
        <w:t>废旧纺织品</w:t>
      </w:r>
      <w:r>
        <w:rPr>
          <w:rFonts w:hint="default" w:ascii="楷体_GB2312" w:hAnsi="楷体_GB2312" w:eastAsia="楷体_GB2312" w:cs="楷体_GB2312"/>
          <w:bCs/>
          <w:sz w:val="32"/>
          <w:szCs w:val="32"/>
          <w:highlight w:val="none"/>
          <w:lang w:val="en-US" w:eastAsia="zh-CN"/>
        </w:rPr>
        <w:t>回收</w:t>
      </w:r>
      <w:r>
        <w:rPr>
          <w:rFonts w:hint="default" w:ascii="楷体_GB2312" w:hAnsi="楷体_GB2312" w:eastAsia="楷体_GB2312" w:cs="楷体_GB2312"/>
          <w:bCs/>
          <w:sz w:val="32"/>
          <w:szCs w:val="32"/>
          <w:highlight w:val="none"/>
        </w:rPr>
        <w:t>循环</w:t>
      </w:r>
      <w:r>
        <w:rPr>
          <w:rFonts w:hint="default" w:ascii="楷体_GB2312" w:hAnsi="楷体_GB2312" w:eastAsia="楷体_GB2312" w:cs="楷体_GB2312"/>
          <w:bCs/>
          <w:sz w:val="32"/>
          <w:szCs w:val="32"/>
          <w:highlight w:val="none"/>
          <w:lang w:val="en-US" w:eastAsia="zh-CN"/>
        </w:rPr>
        <w:t>再利用</w:t>
      </w:r>
      <w:r>
        <w:rPr>
          <w:rFonts w:hint="default" w:ascii="楷体_GB2312" w:hAnsi="楷体_GB2312" w:eastAsia="楷体_GB2312" w:cs="楷体_GB2312"/>
          <w:bCs/>
          <w:sz w:val="32"/>
          <w:szCs w:val="32"/>
          <w:highlight w:val="none"/>
        </w:rPr>
        <w:t>成套技术与装备</w:t>
      </w:r>
    </w:p>
    <w:p>
      <w:pPr>
        <w:snapToGrid w:val="0"/>
        <w:spacing w:line="600" w:lineRule="exact"/>
        <w:ind w:firstLine="645"/>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揭榜任务：</w:t>
      </w:r>
      <w:r>
        <w:rPr>
          <w:rFonts w:hint="default" w:ascii="Times New Roman" w:hAnsi="Times New Roman" w:eastAsia="仿宋_GB2312" w:cs="Times New Roman"/>
          <w:bCs/>
          <w:sz w:val="32"/>
          <w:szCs w:val="32"/>
          <w:highlight w:val="none"/>
        </w:rPr>
        <w:t>针对我国废旧纺织品回收分拣劳动强度大</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效</w:t>
      </w:r>
      <w:r>
        <w:rPr>
          <w:rFonts w:hint="default" w:ascii="Times New Roman" w:hAnsi="Times New Roman" w:eastAsia="仿宋_GB2312" w:cs="Times New Roman"/>
          <w:bCs/>
          <w:sz w:val="32"/>
          <w:szCs w:val="32"/>
          <w:highlight w:val="none"/>
        </w:rPr>
        <w:t>率低、</w:t>
      </w:r>
      <w:r>
        <w:rPr>
          <w:rFonts w:hint="default" w:ascii="Times New Roman" w:hAnsi="Times New Roman" w:eastAsia="仿宋_GB2312" w:cs="Times New Roman"/>
          <w:bCs/>
          <w:sz w:val="32"/>
          <w:szCs w:val="32"/>
          <w:highlight w:val="none"/>
          <w:lang w:val="en-US" w:eastAsia="zh-CN"/>
        </w:rPr>
        <w:t>成本高</w:t>
      </w:r>
      <w:r>
        <w:rPr>
          <w:rFonts w:hint="default" w:ascii="Times New Roman" w:hAnsi="Times New Roman" w:eastAsia="仿宋_GB2312" w:cs="Times New Roman"/>
          <w:bCs/>
          <w:sz w:val="32"/>
          <w:szCs w:val="32"/>
          <w:highlight w:val="none"/>
        </w:rPr>
        <w:t>、再生品性能差等问题，突破多品类废布料材质准确判别</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分拣速度及再生料性能降级的限制，开发动态流转条件下废布料材质成分检测</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分离平铺预处理、高速识别分拣</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废旧</w:t>
      </w:r>
      <w:r>
        <w:rPr>
          <w:rFonts w:hint="default" w:ascii="Times New Roman" w:hAnsi="Times New Roman" w:eastAsia="仿宋_GB2312" w:cs="Times New Roman"/>
          <w:b w:val="0"/>
          <w:bCs/>
          <w:sz w:val="32"/>
          <w:szCs w:val="32"/>
          <w:highlight w:val="none"/>
          <w:lang w:eastAsia="zh-CN"/>
        </w:rPr>
        <w:t>涤纶</w:t>
      </w:r>
      <w:r>
        <w:rPr>
          <w:rFonts w:hint="default" w:ascii="Times New Roman" w:hAnsi="Times New Roman" w:eastAsia="仿宋_GB2312" w:cs="Times New Roman"/>
          <w:bCs/>
          <w:sz w:val="32"/>
          <w:szCs w:val="32"/>
          <w:highlight w:val="none"/>
        </w:rPr>
        <w:t>纺织品高效化学解聚与再生</w:t>
      </w:r>
      <w:r>
        <w:rPr>
          <w:rFonts w:hint="default" w:ascii="Times New Roman" w:hAnsi="Times New Roman" w:eastAsia="仿宋_GB2312" w:cs="Times New Roman"/>
          <w:bCs/>
          <w:sz w:val="32"/>
          <w:szCs w:val="32"/>
          <w:highlight w:val="none"/>
          <w:lang w:val="en-US" w:eastAsia="zh-CN"/>
        </w:rPr>
        <w:t>等</w:t>
      </w:r>
      <w:r>
        <w:rPr>
          <w:rFonts w:hint="default" w:ascii="Times New Roman" w:hAnsi="Times New Roman" w:eastAsia="仿宋_GB2312" w:cs="Times New Roman"/>
          <w:bCs/>
          <w:sz w:val="32"/>
          <w:szCs w:val="32"/>
          <w:highlight w:val="none"/>
        </w:rPr>
        <w:t>关键技术，形成以混杂废布料智能高速分拣</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化学解聚、酯交换、离心分离、精馏提纯等为核心工序的废旧纺织品</w:t>
      </w:r>
      <w:r>
        <w:rPr>
          <w:rFonts w:hint="default" w:ascii="Times New Roman" w:hAnsi="Times New Roman" w:eastAsia="仿宋_GB2312" w:cs="Times New Roman"/>
          <w:bCs/>
          <w:sz w:val="32"/>
          <w:szCs w:val="32"/>
          <w:highlight w:val="none"/>
          <w:lang w:val="en-US" w:eastAsia="zh-CN"/>
        </w:rPr>
        <w:t>回收</w:t>
      </w:r>
      <w:r>
        <w:rPr>
          <w:rFonts w:hint="default" w:ascii="Times New Roman" w:hAnsi="Times New Roman" w:eastAsia="仿宋_GB2312" w:cs="Times New Roman"/>
          <w:bCs/>
          <w:sz w:val="32"/>
          <w:szCs w:val="32"/>
          <w:highlight w:val="none"/>
        </w:rPr>
        <w:t>循环</w:t>
      </w:r>
      <w:r>
        <w:rPr>
          <w:rFonts w:hint="default" w:ascii="Times New Roman" w:hAnsi="Times New Roman" w:eastAsia="仿宋_GB2312" w:cs="Times New Roman"/>
          <w:bCs/>
          <w:sz w:val="32"/>
          <w:szCs w:val="32"/>
          <w:highlight w:val="none"/>
          <w:lang w:val="en-US" w:eastAsia="zh-CN"/>
        </w:rPr>
        <w:t>再利用</w:t>
      </w:r>
      <w:r>
        <w:rPr>
          <w:rFonts w:hint="default" w:ascii="Times New Roman" w:hAnsi="Times New Roman" w:eastAsia="仿宋_GB2312" w:cs="Times New Roman"/>
          <w:bCs/>
          <w:sz w:val="32"/>
          <w:szCs w:val="32"/>
          <w:highlight w:val="none"/>
        </w:rPr>
        <w:t>成套技术与装备，提高</w:t>
      </w:r>
      <w:r>
        <w:rPr>
          <w:rFonts w:hint="default" w:ascii="Times New Roman" w:hAnsi="Times New Roman" w:eastAsia="仿宋_GB2312" w:cs="Times New Roman"/>
          <w:b w:val="0"/>
          <w:bCs/>
          <w:sz w:val="32"/>
          <w:szCs w:val="32"/>
          <w:highlight w:val="none"/>
          <w:lang w:val="en-US" w:eastAsia="zh-CN"/>
        </w:rPr>
        <w:t>回收涤纶</w:t>
      </w:r>
      <w:r>
        <w:rPr>
          <w:rFonts w:hint="default" w:ascii="Times New Roman" w:hAnsi="Times New Roman" w:eastAsia="仿宋_GB2312" w:cs="Times New Roman"/>
          <w:bCs/>
          <w:sz w:val="32"/>
          <w:szCs w:val="32"/>
          <w:highlight w:val="none"/>
        </w:rPr>
        <w:t>的纯度和性能，实现废旧纺织品高值化再生，提升资源利用效率</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减少环境污染。</w:t>
      </w:r>
    </w:p>
    <w:p>
      <w:pPr>
        <w:snapToGrid w:val="0"/>
        <w:spacing w:line="600" w:lineRule="exact"/>
        <w:ind w:firstLine="645"/>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预期目标：</w:t>
      </w:r>
      <w:r>
        <w:rPr>
          <w:rFonts w:hint="default" w:ascii="Times New Roman" w:hAnsi="Times New Roman" w:eastAsia="仿宋_GB2312" w:cs="Times New Roman"/>
          <w:bCs/>
          <w:sz w:val="32"/>
          <w:szCs w:val="32"/>
          <w:highlight w:val="none"/>
        </w:rPr>
        <w:t>到202</w:t>
      </w:r>
      <w:r>
        <w:rPr>
          <w:rFonts w:hint="default" w:ascii="Times New Roman" w:hAnsi="Times New Roman" w:eastAsia="仿宋_GB2312" w:cs="Times New Roman"/>
          <w:bCs/>
          <w:sz w:val="32"/>
          <w:szCs w:val="32"/>
          <w:highlight w:val="none"/>
          <w:lang w:val="en-US" w:eastAsia="zh-CN"/>
        </w:rPr>
        <w:t>7</w:t>
      </w:r>
      <w:r>
        <w:rPr>
          <w:rFonts w:hint="default" w:ascii="Times New Roman" w:hAnsi="Times New Roman" w:eastAsia="仿宋_GB2312" w:cs="Times New Roman"/>
          <w:bCs/>
          <w:sz w:val="32"/>
          <w:szCs w:val="32"/>
          <w:highlight w:val="none"/>
        </w:rPr>
        <w:t>年完成废旧纺织品</w:t>
      </w:r>
      <w:r>
        <w:rPr>
          <w:rFonts w:hint="default" w:ascii="Times New Roman" w:hAnsi="Times New Roman" w:eastAsia="仿宋_GB2312" w:cs="Times New Roman"/>
          <w:bCs/>
          <w:sz w:val="32"/>
          <w:szCs w:val="32"/>
          <w:highlight w:val="none"/>
          <w:lang w:val="en-US" w:eastAsia="zh-CN"/>
        </w:rPr>
        <w:t>回收</w:t>
      </w:r>
      <w:r>
        <w:rPr>
          <w:rFonts w:hint="default" w:ascii="Times New Roman" w:hAnsi="Times New Roman" w:eastAsia="仿宋_GB2312" w:cs="Times New Roman"/>
          <w:bCs/>
          <w:sz w:val="32"/>
          <w:szCs w:val="32"/>
          <w:highlight w:val="none"/>
        </w:rPr>
        <w:t>循环</w:t>
      </w:r>
      <w:r>
        <w:rPr>
          <w:rFonts w:hint="default" w:ascii="Times New Roman" w:hAnsi="Times New Roman" w:eastAsia="仿宋_GB2312" w:cs="Times New Roman"/>
          <w:bCs/>
          <w:sz w:val="32"/>
          <w:szCs w:val="32"/>
          <w:highlight w:val="none"/>
          <w:lang w:val="en-US" w:eastAsia="zh-CN"/>
        </w:rPr>
        <w:t>再利用</w:t>
      </w:r>
      <w:r>
        <w:rPr>
          <w:rFonts w:hint="default" w:ascii="Times New Roman" w:hAnsi="Times New Roman" w:eastAsia="仿宋_GB2312" w:cs="Times New Roman"/>
          <w:bCs/>
          <w:sz w:val="32"/>
          <w:szCs w:val="32"/>
          <w:highlight w:val="none"/>
        </w:rPr>
        <w:t>成套技术与装备的研制。单批次处理量≥8</w:t>
      </w:r>
      <w:r>
        <w:rPr>
          <w:rFonts w:hint="default" w:ascii="Times New Roman" w:hAnsi="Times New Roman" w:eastAsia="仿宋_GB2312" w:cs="Times New Roman"/>
          <w:bCs/>
          <w:sz w:val="32"/>
          <w:szCs w:val="32"/>
          <w:highlight w:val="none"/>
          <w:lang w:eastAsia="zh-CN"/>
        </w:rPr>
        <w:t>吨</w:t>
      </w:r>
      <w:r>
        <w:rPr>
          <w:rFonts w:hint="default" w:ascii="Times New Roman" w:hAnsi="Times New Roman" w:eastAsia="仿宋_GB2312" w:cs="Times New Roman"/>
          <w:bCs/>
          <w:sz w:val="32"/>
          <w:szCs w:val="32"/>
          <w:highlight w:val="none"/>
        </w:rPr>
        <w:t>，处理后</w:t>
      </w:r>
      <w:r>
        <w:rPr>
          <w:rFonts w:hint="default" w:ascii="Times New Roman" w:hAnsi="Times New Roman" w:eastAsia="仿宋_GB2312" w:cs="Times New Roman"/>
          <w:bCs/>
          <w:sz w:val="32"/>
          <w:szCs w:val="32"/>
          <w:highlight w:val="none"/>
          <w:lang w:eastAsia="zh-CN"/>
        </w:rPr>
        <w:t>对苯二甲酸二甲酯（</w:t>
      </w:r>
      <w:r>
        <w:rPr>
          <w:rFonts w:hint="default" w:ascii="Times New Roman" w:hAnsi="Times New Roman" w:eastAsia="仿宋_GB2312" w:cs="Times New Roman"/>
          <w:bCs/>
          <w:sz w:val="32"/>
          <w:szCs w:val="32"/>
          <w:highlight w:val="none"/>
        </w:rPr>
        <w:t>DMT</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纯度≥99.9%，DMT产量达到50000</w:t>
      </w:r>
      <w:r>
        <w:rPr>
          <w:rFonts w:hint="default" w:ascii="Times New Roman" w:hAnsi="Times New Roman" w:eastAsia="仿宋_GB2312" w:cs="Times New Roman"/>
          <w:bCs/>
          <w:sz w:val="32"/>
          <w:szCs w:val="32"/>
          <w:highlight w:val="none"/>
          <w:lang w:eastAsia="zh-CN"/>
        </w:rPr>
        <w:t>吨</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年</w:t>
      </w:r>
      <w:r>
        <w:rPr>
          <w:rFonts w:hint="default" w:ascii="Times New Roman" w:hAnsi="Times New Roman" w:eastAsia="仿宋_GB2312" w:cs="Times New Roman"/>
          <w:bCs/>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r>
        <w:rPr>
          <w:rFonts w:hint="default" w:ascii="楷体_GB2312" w:hAnsi="楷体_GB2312" w:eastAsia="楷体_GB2312" w:cs="楷体_GB2312"/>
          <w:b w:val="0"/>
          <w:bCs/>
          <w:sz w:val="32"/>
          <w:szCs w:val="32"/>
          <w:highlight w:val="none"/>
        </w:rPr>
        <w:t>有色冶炼行业含汞危险废物汞资源回收成套装备</w:t>
      </w:r>
      <w:bookmarkEnd w:id="12"/>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 w:val="0"/>
          <w:bCs w:val="0"/>
          <w:color w:val="auto"/>
          <w:sz w:val="32"/>
          <w:szCs w:val="32"/>
          <w:highlight w:val="none"/>
          <w:lang w:val="en-US" w:eastAsia="zh-CN"/>
        </w:rPr>
        <w:t>针对有色冶炼废渣因多种有毒金属混杂导致汞分离回收率低、废水</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废气</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废渣产排量大的问题，突破有色冶炼污酸</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酸泥汞选择性分离及回收金属汞关键技术，开发有色冶炼含汞危险废物汞资源化回收成套装备，支撑实现我国涉汞行业绿色升级和国际汞公约履约能力提升。</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到2027年完成含汞危险废物汞资源回收成套装备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实现污酸净化后汞浓度≤0.01mg/L</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汞分离率≥99%</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酸泥中汞分离回收率≥95%</w:t>
      </w:r>
      <w:r>
        <w:rPr>
          <w:rFonts w:hint="default" w:ascii="Times New Roman" w:hAnsi="Times New Roman" w:eastAsia="仿宋_GB2312" w:cs="Times New Roman"/>
          <w:bCs/>
          <w:sz w:val="32"/>
          <w:szCs w:val="32"/>
          <w:highlight w:val="none"/>
          <w:lang w:eastAsia="zh-CN"/>
        </w:rPr>
        <w:t>，处理能力＞1000t/a</w:t>
      </w:r>
      <w:r>
        <w:rPr>
          <w:rFonts w:hint="default" w:ascii="Times New Roman" w:hAnsi="Times New Roman" w:eastAsia="仿宋_GB2312" w:cs="Times New Roman"/>
          <w:bCs/>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3" w:name="_Toc11573"/>
      <w:r>
        <w:rPr>
          <w:rFonts w:hint="default" w:ascii="楷体_GB2312" w:hAnsi="楷体_GB2312" w:eastAsia="楷体_GB2312" w:cs="楷体_GB2312"/>
          <w:b w:val="0"/>
          <w:bCs/>
          <w:sz w:val="32"/>
          <w:szCs w:val="32"/>
          <w:highlight w:val="none"/>
        </w:rPr>
        <w:t>含抗生素废物水热闪蒸解毒装置</w:t>
      </w:r>
      <w:bookmarkEnd w:id="13"/>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针对医疗废渣、畜禽粪便等抗生素类新污染物含量较高的废物难以深度降解的问题，开发效率高、能耗低、寿命长、运行稳定的新型水热闪蒸解毒装置，实现含抗生素固废的抗生素</w:t>
      </w:r>
      <w:r>
        <w:rPr>
          <w:rFonts w:hint="default" w:ascii="Times New Roman" w:hAnsi="Times New Roman" w:eastAsia="仿宋_GB2312" w:cs="Times New Roman"/>
          <w:bCs/>
          <w:sz w:val="32"/>
          <w:szCs w:val="32"/>
          <w:highlight w:val="none"/>
          <w:lang w:val="en-US" w:eastAsia="zh-CN"/>
        </w:rPr>
        <w:t>高效去除</w:t>
      </w:r>
      <w:r>
        <w:rPr>
          <w:rFonts w:hint="default" w:ascii="Times New Roman" w:hAnsi="Times New Roman" w:eastAsia="仿宋_GB2312" w:cs="Times New Roman"/>
          <w:bCs/>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到2027年完成含抗生素废物水热闪蒸解毒装置</w:t>
      </w:r>
      <w:r>
        <w:rPr>
          <w:rFonts w:hint="default" w:ascii="Times New Roman" w:hAnsi="Times New Roman" w:eastAsia="仿宋_GB2312" w:cs="Times New Roman"/>
          <w:bCs/>
          <w:sz w:val="32"/>
          <w:szCs w:val="32"/>
          <w:highlight w:val="none"/>
          <w:lang w:val="en-US" w:eastAsia="zh-CN"/>
        </w:rPr>
        <w:t>研制。实现抗生素</w:t>
      </w:r>
      <w:r>
        <w:rPr>
          <w:rFonts w:hint="default" w:ascii="Times New Roman" w:hAnsi="Times New Roman" w:eastAsia="仿宋_GB2312" w:cs="Times New Roman"/>
          <w:bCs/>
          <w:sz w:val="32"/>
          <w:szCs w:val="32"/>
          <w:highlight w:val="none"/>
          <w:lang w:eastAsia="zh-CN"/>
        </w:rPr>
        <w:t>去除率</w:t>
      </w:r>
      <w:r>
        <w:rPr>
          <w:rFonts w:hint="default" w:ascii="Times New Roman" w:hAnsi="Times New Roman" w:eastAsia="仿宋_GB2312" w:cs="Times New Roman"/>
          <w:bCs/>
          <w:sz w:val="32"/>
          <w:szCs w:val="32"/>
          <w:highlight w:val="none"/>
          <w:lang w:val="en-US" w:eastAsia="zh-CN"/>
        </w:rPr>
        <w:t>≥70%</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水热溶出率≥70%</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闪蒸能耗降低20%以上。</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4" w:name="_Toc3704"/>
      <w:r>
        <w:rPr>
          <w:rFonts w:hint="default" w:ascii="楷体_GB2312" w:hAnsi="楷体_GB2312" w:eastAsia="楷体_GB2312" w:cs="楷体_GB2312"/>
          <w:b w:val="0"/>
          <w:bCs/>
          <w:sz w:val="32"/>
          <w:szCs w:val="32"/>
          <w:highlight w:val="none"/>
        </w:rPr>
        <w:t>连续式低值废塑料热解装备</w:t>
      </w:r>
      <w:bookmarkEnd w:id="14"/>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针对低值废塑料物理、机械回收难度大、资源化程度低、二次污染问题，以及化学回收投入大、产物复杂多样的问题，实现低值废塑料</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混合废塑料连续裂解，产物以高附加值化工原料为主，开发混合废塑料流化床催化裂解装置，实现塑料全生命周期循环。</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到2027年完成连续式低值废塑料热解装备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单套装置处理规模≥5000吨/年</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热解装置炉内氯元素脱除率≥75%</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产物</w:t>
      </w:r>
      <w:r>
        <w:rPr>
          <w:rFonts w:hint="eastAsia" w:ascii="Times New Roman" w:hAnsi="Times New Roman" w:eastAsia="仿宋_GB2312" w:cs="Times New Roman"/>
          <w:bCs/>
          <w:sz w:val="32"/>
          <w:szCs w:val="32"/>
          <w:highlight w:val="none"/>
          <w:lang w:val="en-US" w:eastAsia="zh-CN"/>
        </w:rPr>
        <w:t>回</w:t>
      </w:r>
      <w:r>
        <w:rPr>
          <w:rFonts w:hint="default" w:ascii="Times New Roman" w:hAnsi="Times New Roman" w:eastAsia="仿宋_GB2312" w:cs="Times New Roman"/>
          <w:bCs/>
          <w:sz w:val="32"/>
          <w:szCs w:val="32"/>
          <w:highlight w:val="none"/>
        </w:rPr>
        <w:t>收率≥85%。</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5" w:name="_Toc17047"/>
      <w:r>
        <w:rPr>
          <w:rFonts w:hint="default" w:ascii="楷体_GB2312" w:hAnsi="楷体_GB2312" w:eastAsia="楷体_GB2312" w:cs="楷体_GB2312"/>
          <w:b w:val="0"/>
          <w:bCs/>
          <w:sz w:val="32"/>
          <w:szCs w:val="32"/>
          <w:highlight w:val="none"/>
        </w:rPr>
        <w:t>水中挥发性和半挥发性有机物在线自动监测装备</w:t>
      </w:r>
      <w:bookmarkEnd w:id="15"/>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水中有机物在线自动监测设备运维难度大、运行成本高、数据有效率低、精度差等问题，突破传统吹扫捕集样品采集与浓缩技术方式，突破全二维气相色谱-飞行时间质谱的高灵敏度或高分辨率和全二维软件自动积分高准确度的关键技术，开发新一代水中挥发性和半挥发性有机物在线自动监测系统，实现高精度易维护水质自动监测仪的国产化。</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eastAsia="zh-CN"/>
        </w:rPr>
        <w:t>到2027年完成水中挥发性和半挥发性有机物在线自动监测装备研制。实现水中挥发性有机物监测种类≥50种，半挥发性有机物监测种类≥100种，定量监测检出限≤1μg/L，灵敏度：信噪比≥1000:1（1pg溴五氟苯，M/z=117）</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eastAsia="zh-CN"/>
        </w:rPr>
        <w:t>分辨率≥1000mmu（M/z=117）。</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6" w:name="_Toc17332"/>
      <w:r>
        <w:rPr>
          <w:rFonts w:hint="default" w:ascii="楷体_GB2312" w:hAnsi="楷体_GB2312" w:eastAsia="楷体_GB2312" w:cs="楷体_GB2312"/>
          <w:b w:val="0"/>
          <w:bCs/>
          <w:sz w:val="32"/>
          <w:szCs w:val="32"/>
          <w:highlight w:val="none"/>
        </w:rPr>
        <w:t>高精度温室气体及稳定碳同位素自动化分析仪</w:t>
      </w:r>
      <w:bookmarkEnd w:id="16"/>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在温室气体高精度监测领域，国外产品占据绝对市场份额，国内相关仪器在测量精度、环境适应性和长期稳定性等方面存在较大差距的问题，突破碳排放溯源示踪技术，开发高精度温室气体及稳定碳同位素自动化分析仪，实现对源汇分布、碳循环以及气候变化的研究。</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到2027年完成高精度温室气体及稳定碳同位素自动化分析仪</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大气1</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C-CO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和13C-CO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同位素高精度监测系统</w:t>
      </w:r>
      <w:r>
        <w:rPr>
          <w:rFonts w:hint="default" w:ascii="Times New Roman" w:hAnsi="Times New Roman" w:eastAsia="仿宋_GB2312" w:cs="Times New Roman"/>
          <w:bCs/>
          <w:sz w:val="32"/>
          <w:szCs w:val="32"/>
          <w:highlight w:val="none"/>
          <w:lang w:val="en-US" w:eastAsia="zh-CN"/>
        </w:rPr>
        <w:t>达到</w:t>
      </w:r>
      <w:r>
        <w:rPr>
          <w:rFonts w:hint="default" w:ascii="Times New Roman" w:hAnsi="Times New Roman" w:eastAsia="仿宋_GB2312" w:cs="Times New Roman"/>
          <w:bCs/>
          <w:sz w:val="32"/>
          <w:szCs w:val="32"/>
          <w:highlight w:val="none"/>
        </w:rPr>
        <w:t>测量精度≤0.1ppm</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测量范围≥380ppm</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量程漂移≤0.1ppm/24</w:t>
      </w:r>
      <w:r>
        <w:rPr>
          <w:rFonts w:hint="default" w:ascii="Times New Roman" w:hAnsi="Times New Roman" w:eastAsia="仿宋_GB2312" w:cs="Times New Roman"/>
          <w:bCs/>
          <w:sz w:val="32"/>
          <w:szCs w:val="32"/>
          <w:highlight w:val="none"/>
          <w:lang w:val="en-US" w:eastAsia="zh-CN"/>
        </w:rPr>
        <w:t>h</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13C-CO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丰度测量精度≤1‰</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大气1</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C-CH</w:t>
      </w:r>
      <w:r>
        <w:rPr>
          <w:rFonts w:hint="default" w:ascii="Times New Roman" w:hAnsi="Times New Roman" w:eastAsia="仿宋_GB2312" w:cs="Times New Roman"/>
          <w:bCs/>
          <w:sz w:val="32"/>
          <w:szCs w:val="32"/>
          <w:highlight w:val="none"/>
          <w:vertAlign w:val="subscript"/>
        </w:rPr>
        <w:t>4</w:t>
      </w:r>
      <w:r>
        <w:rPr>
          <w:rFonts w:hint="default" w:ascii="Times New Roman" w:hAnsi="Times New Roman" w:eastAsia="仿宋_GB2312" w:cs="Times New Roman"/>
          <w:bCs/>
          <w:sz w:val="32"/>
          <w:szCs w:val="32"/>
          <w:highlight w:val="none"/>
        </w:rPr>
        <w:t>和13C-CH</w:t>
      </w:r>
      <w:r>
        <w:rPr>
          <w:rFonts w:hint="default" w:ascii="Times New Roman" w:hAnsi="Times New Roman" w:eastAsia="仿宋_GB2312" w:cs="Times New Roman"/>
          <w:bCs/>
          <w:sz w:val="32"/>
          <w:szCs w:val="32"/>
          <w:highlight w:val="none"/>
          <w:vertAlign w:val="subscript"/>
        </w:rPr>
        <w:t>4</w:t>
      </w:r>
      <w:r>
        <w:rPr>
          <w:rFonts w:hint="default" w:ascii="Times New Roman" w:hAnsi="Times New Roman" w:eastAsia="仿宋_GB2312" w:cs="Times New Roman"/>
          <w:bCs/>
          <w:sz w:val="32"/>
          <w:szCs w:val="32"/>
          <w:highlight w:val="none"/>
        </w:rPr>
        <w:t>同位素高精度监测系统</w:t>
      </w:r>
      <w:r>
        <w:rPr>
          <w:rFonts w:hint="default" w:ascii="Times New Roman" w:hAnsi="Times New Roman" w:eastAsia="仿宋_GB2312" w:cs="Times New Roman"/>
          <w:bCs/>
          <w:sz w:val="32"/>
          <w:szCs w:val="32"/>
          <w:highlight w:val="none"/>
          <w:lang w:val="en-US" w:eastAsia="zh-CN"/>
        </w:rPr>
        <w:t>达到</w:t>
      </w:r>
      <w:r>
        <w:rPr>
          <w:rFonts w:hint="default" w:ascii="Times New Roman" w:hAnsi="Times New Roman" w:eastAsia="仿宋_GB2312" w:cs="Times New Roman"/>
          <w:bCs/>
          <w:sz w:val="32"/>
          <w:szCs w:val="32"/>
          <w:highlight w:val="none"/>
        </w:rPr>
        <w:t>测量精度≤2ppb</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测量范围≥1800ppb</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量程漂移≤2ppb/24</w:t>
      </w:r>
      <w:r>
        <w:rPr>
          <w:rFonts w:hint="default" w:ascii="Times New Roman" w:hAnsi="Times New Roman" w:eastAsia="仿宋_GB2312" w:cs="Times New Roman"/>
          <w:bCs/>
          <w:sz w:val="32"/>
          <w:szCs w:val="32"/>
          <w:highlight w:val="none"/>
          <w:lang w:val="en-US" w:eastAsia="zh-CN"/>
        </w:rPr>
        <w:t>h</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13C-CH</w:t>
      </w:r>
      <w:r>
        <w:rPr>
          <w:rFonts w:hint="default" w:ascii="Times New Roman" w:hAnsi="Times New Roman" w:eastAsia="仿宋_GB2312" w:cs="Times New Roman"/>
          <w:bCs/>
          <w:sz w:val="32"/>
          <w:szCs w:val="32"/>
          <w:highlight w:val="none"/>
          <w:vertAlign w:val="subscript"/>
        </w:rPr>
        <w:t>4</w:t>
      </w:r>
      <w:r>
        <w:rPr>
          <w:rFonts w:hint="default" w:ascii="Times New Roman" w:hAnsi="Times New Roman" w:eastAsia="仿宋_GB2312" w:cs="Times New Roman"/>
          <w:bCs/>
          <w:sz w:val="32"/>
          <w:szCs w:val="32"/>
          <w:highlight w:val="none"/>
        </w:rPr>
        <w:t>丰度测量精度≤1‰，测量时间≤1s。</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7" w:name="_Toc14434"/>
      <w:r>
        <w:rPr>
          <w:rFonts w:hint="default" w:ascii="楷体_GB2312" w:hAnsi="楷体_GB2312" w:eastAsia="楷体_GB2312" w:cs="楷体_GB2312"/>
          <w:b w:val="0"/>
          <w:bCs/>
          <w:sz w:val="32"/>
          <w:szCs w:val="32"/>
          <w:highlight w:val="none"/>
        </w:rPr>
        <w:t>显微傅里叶红外光谱仪</w:t>
      </w:r>
      <w:bookmarkEnd w:id="17"/>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针对国产微塑料等新污染物检测设备分辨率</w:t>
      </w:r>
      <w:r>
        <w:rPr>
          <w:rFonts w:hint="eastAsia" w:ascii="Times New Roman" w:hAnsi="Times New Roman" w:eastAsia="仿宋_GB2312" w:cs="Times New Roman"/>
          <w:bCs/>
          <w:sz w:val="32"/>
          <w:szCs w:val="32"/>
          <w:highlight w:val="none"/>
          <w:lang w:eastAsia="zh-CN"/>
        </w:rPr>
        <w:t>低</w:t>
      </w:r>
      <w:r>
        <w:rPr>
          <w:rFonts w:hint="default" w:ascii="Times New Roman" w:hAnsi="Times New Roman" w:eastAsia="仿宋_GB2312" w:cs="Times New Roman"/>
          <w:bCs/>
          <w:sz w:val="32"/>
          <w:szCs w:val="32"/>
          <w:highlight w:val="none"/>
        </w:rPr>
        <w:t>的问题，突破显微成像与超高精度傅里叶红外连用的关键技术，开发显微傅里叶红外光谱仪，实现微塑料检测仪器的国产化。</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w:t>
      </w:r>
      <w:r>
        <w:rPr>
          <w:rFonts w:hint="default" w:ascii="Times New Roman" w:hAnsi="Times New Roman" w:eastAsia="仿宋_GB2312" w:cs="Times New Roman"/>
          <w:b w:val="0"/>
          <w:bCs/>
          <w:sz w:val="32"/>
          <w:szCs w:val="32"/>
          <w:highlight w:val="none"/>
          <w:lang w:val="en-US" w:eastAsia="zh-CN"/>
        </w:rPr>
        <w:t>可用于微塑料检测的</w:t>
      </w:r>
      <w:r>
        <w:rPr>
          <w:rFonts w:hint="default" w:ascii="Times New Roman" w:hAnsi="Times New Roman" w:eastAsia="仿宋_GB2312" w:cs="Times New Roman"/>
          <w:b w:val="0"/>
          <w:bCs/>
          <w:sz w:val="32"/>
          <w:szCs w:val="32"/>
          <w:highlight w:val="none"/>
        </w:rPr>
        <w:t>显微傅里叶红外光谱仪</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分辨率优于0.4cm</w:t>
      </w:r>
      <w:r>
        <w:rPr>
          <w:rFonts w:hint="default" w:ascii="Times New Roman" w:hAnsi="Times New Roman" w:eastAsia="仿宋_GB2312" w:cs="Times New Roman"/>
          <w:b w:val="0"/>
          <w:bCs/>
          <w:sz w:val="32"/>
          <w:szCs w:val="32"/>
          <w:highlight w:val="none"/>
          <w:vertAlign w:val="superscript"/>
        </w:rPr>
        <w:t>-1</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峰-峰噪音:小于8.68</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10</w:t>
      </w:r>
      <w:r>
        <w:rPr>
          <w:rFonts w:hint="default" w:ascii="Times New Roman" w:hAnsi="Times New Roman" w:eastAsia="仿宋_GB2312" w:cs="Times New Roman"/>
          <w:b w:val="0"/>
          <w:bCs/>
          <w:sz w:val="32"/>
          <w:szCs w:val="32"/>
          <w:highlight w:val="none"/>
          <w:vertAlign w:val="superscript"/>
        </w:rPr>
        <w:t>-6</w:t>
      </w:r>
      <w:r>
        <w:rPr>
          <w:rFonts w:hint="default" w:ascii="Times New Roman" w:hAnsi="Times New Roman" w:eastAsia="仿宋_GB2312" w:cs="Times New Roman"/>
          <w:b w:val="0"/>
          <w:bCs/>
          <w:sz w:val="32"/>
          <w:szCs w:val="32"/>
          <w:highlight w:val="none"/>
        </w:rPr>
        <w:t>Abs</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信噪比优于50000:1</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中红外光谱范围:7800cm</w:t>
      </w:r>
      <w:r>
        <w:rPr>
          <w:rFonts w:hint="default" w:ascii="Times New Roman" w:hAnsi="Times New Roman" w:eastAsia="仿宋_GB2312" w:cs="Times New Roman"/>
          <w:b w:val="0"/>
          <w:bCs/>
          <w:sz w:val="32"/>
          <w:szCs w:val="32"/>
          <w:highlight w:val="none"/>
          <w:vertAlign w:val="superscript"/>
        </w:rPr>
        <w:t>-1</w:t>
      </w:r>
      <w:r>
        <w:rPr>
          <w:rFonts w:hint="default" w:ascii="Times New Roman" w:hAnsi="Times New Roman" w:eastAsia="仿宋_GB2312" w:cs="Times New Roman"/>
          <w:b w:val="0"/>
          <w:bCs/>
          <w:sz w:val="32"/>
          <w:szCs w:val="32"/>
          <w:highlight w:val="none"/>
          <w:vertAlign w:val="baseline"/>
          <w:lang w:val="en-US" w:eastAsia="zh-CN"/>
        </w:rPr>
        <w:t>～</w:t>
      </w:r>
      <w:r>
        <w:rPr>
          <w:rFonts w:hint="default" w:ascii="Times New Roman" w:hAnsi="Times New Roman" w:eastAsia="仿宋_GB2312" w:cs="Times New Roman"/>
          <w:b w:val="0"/>
          <w:bCs/>
          <w:sz w:val="32"/>
          <w:szCs w:val="32"/>
          <w:highlight w:val="none"/>
        </w:rPr>
        <w:t>350cm</w:t>
      </w:r>
      <w:r>
        <w:rPr>
          <w:rFonts w:hint="default" w:ascii="Times New Roman" w:hAnsi="Times New Roman" w:eastAsia="仿宋_GB2312" w:cs="Times New Roman"/>
          <w:b w:val="0"/>
          <w:bCs/>
          <w:sz w:val="32"/>
          <w:szCs w:val="32"/>
          <w:highlight w:val="none"/>
          <w:vertAlign w:val="superscript"/>
        </w:rPr>
        <w:t>-1</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波数精度</w:t>
      </w:r>
      <w:r>
        <w:rPr>
          <w:rFonts w:hint="default" w:ascii="Times New Roman" w:hAnsi="Times New Roman" w:eastAsia="仿宋_GB2312" w:cs="Times New Roman"/>
          <w:b w:val="0"/>
          <w:bCs/>
          <w:sz w:val="32"/>
          <w:szCs w:val="32"/>
          <w:highlight w:val="none"/>
          <w:lang w:val="en-US" w:eastAsia="zh-CN"/>
        </w:rPr>
        <w:t>达到</w:t>
      </w:r>
      <w:r>
        <w:rPr>
          <w:rFonts w:hint="default" w:ascii="Times New Roman" w:hAnsi="Times New Roman" w:eastAsia="仿宋_GB2312" w:cs="Times New Roman"/>
          <w:b w:val="0"/>
          <w:bCs/>
          <w:sz w:val="32"/>
          <w:szCs w:val="32"/>
          <w:highlight w:val="none"/>
        </w:rPr>
        <w:t>0.01cm</w:t>
      </w:r>
      <w:r>
        <w:rPr>
          <w:rFonts w:hint="default" w:ascii="Times New Roman" w:hAnsi="Times New Roman" w:eastAsia="仿宋_GB2312" w:cs="Times New Roman"/>
          <w:b w:val="0"/>
          <w:bCs/>
          <w:sz w:val="32"/>
          <w:szCs w:val="32"/>
          <w:highlight w:val="none"/>
          <w:vertAlign w:val="superscript"/>
        </w:rPr>
        <w:t>-1</w:t>
      </w:r>
      <w:r>
        <w:rPr>
          <w:rFonts w:hint="default" w:ascii="Times New Roman" w:hAnsi="Times New Roman" w:eastAsia="仿宋_GB2312" w:cs="Times New Roman"/>
          <w:b w:val="0"/>
          <w:bCs/>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8" w:name="_Toc16635"/>
      <w:r>
        <w:rPr>
          <w:rFonts w:hint="default" w:ascii="楷体_GB2312" w:hAnsi="楷体_GB2312" w:eastAsia="楷体_GB2312" w:cs="楷体_GB2312"/>
          <w:b w:val="0"/>
          <w:bCs/>
          <w:sz w:val="32"/>
          <w:szCs w:val="32"/>
          <w:highlight w:val="none"/>
        </w:rPr>
        <w:t>地下水典型有机污染物在线监测系统</w:t>
      </w:r>
      <w:bookmarkEnd w:id="18"/>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常规地下水在线监测设备测量组分有限，不能满足环境监测仪表在地下水等面源监测的需求，不利于地下水点位在线测试普及的问题，突破地下水典型有机污染物快速在线监测技术，开发相关装备，实现地下水监测设备自主可控，确保数据安全。</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到2027年完成地下水典型有机污染物的在线监测系统</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整套仪器占地面积＜0.6m</w:t>
      </w:r>
      <w:r>
        <w:rPr>
          <w:rFonts w:hint="default" w:ascii="Times New Roman" w:hAnsi="Times New Roman" w:eastAsia="仿宋_GB2312" w:cs="Times New Roman"/>
          <w:b w:val="0"/>
          <w:bCs/>
          <w:sz w:val="32"/>
          <w:szCs w:val="32"/>
          <w:highlight w:val="none"/>
          <w:vertAlign w:val="superscript"/>
        </w:rPr>
        <w:t>2</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检测范围≥50种特征有机污染物</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样品传输温度精度±0.5℃</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检出限≤0.1μg/L</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定量重复性≤10%</w:t>
      </w:r>
      <w:r>
        <w:rPr>
          <w:rFonts w:hint="default" w:ascii="Times New Roman" w:hAnsi="Times New Roman" w:eastAsia="仿宋_GB2312" w:cs="Times New Roman"/>
          <w:bCs/>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9" w:name="_Toc18228"/>
      <w:r>
        <w:rPr>
          <w:rFonts w:hint="default" w:ascii="楷体_GB2312" w:hAnsi="楷体_GB2312" w:eastAsia="楷体_GB2312" w:cs="楷体_GB2312"/>
          <w:b w:val="0"/>
          <w:bCs/>
          <w:sz w:val="32"/>
          <w:szCs w:val="32"/>
          <w:highlight w:val="none"/>
        </w:rPr>
        <w:t>光散射法颗粒物高精度监测设备</w:t>
      </w:r>
      <w:bookmarkEnd w:id="19"/>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w:t>
      </w:r>
      <w:r>
        <w:rPr>
          <w:rFonts w:hint="default" w:ascii="Times New Roman" w:hAnsi="Times New Roman" w:eastAsia="仿宋_GB2312" w:cs="Times New Roman"/>
          <w:bCs/>
          <w:sz w:val="32"/>
          <w:szCs w:val="32"/>
          <w:highlight w:val="none"/>
          <w:lang w:val="en-US"/>
        </w:rPr>
        <w:t>传统光散射法颗粒物质量浓度测量精度低的问题，研究颗粒物粒径分布的多通道高精度测量技术和颗粒物质量浓度数据反演与深度学习技术，研发光散射法颗粒物高精度监测装备，实现光散射法颗粒物质量浓度的高精度快速测量，支撑颗粒物监测技术设备国产化替代</w:t>
      </w:r>
      <w:r>
        <w:rPr>
          <w:rFonts w:hint="default" w:ascii="Times New Roman" w:hAnsi="Times New Roman" w:eastAsia="仿宋_GB2312" w:cs="Times New Roman"/>
          <w:bCs/>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到2027年完成光散射法颗粒物高精度监测设备</w:t>
      </w:r>
      <w:r>
        <w:rPr>
          <w:rFonts w:hint="eastAsia"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rPr>
        <w:t>量程范围：0</w:t>
      </w:r>
      <w:r>
        <w:rPr>
          <w:rFonts w:hint="default" w:ascii="Times New Roman" w:hAnsi="Times New Roman" w:eastAsia="仿宋_GB2312" w:cs="Times New Roman"/>
          <w:b w:val="0"/>
          <w:bCs/>
          <w:sz w:val="32"/>
          <w:szCs w:val="32"/>
          <w:highlight w:val="none"/>
          <w:lang w:val="en-US"/>
        </w:rPr>
        <w:t>～</w:t>
      </w:r>
      <w:r>
        <w:rPr>
          <w:rFonts w:hint="default" w:ascii="Times New Roman" w:hAnsi="Times New Roman" w:eastAsia="仿宋_GB2312" w:cs="Times New Roman"/>
          <w:b w:val="0"/>
          <w:bCs/>
          <w:sz w:val="32"/>
          <w:szCs w:val="32"/>
          <w:highlight w:val="none"/>
        </w:rPr>
        <w:t>1000μg/m</w:t>
      </w:r>
      <w:r>
        <w:rPr>
          <w:rFonts w:hint="default" w:ascii="Times New Roman" w:hAnsi="Times New Roman" w:eastAsia="仿宋_GB2312" w:cs="Times New Roman"/>
          <w:b w:val="0"/>
          <w:bCs/>
          <w:sz w:val="32"/>
          <w:szCs w:val="32"/>
          <w:highlight w:val="none"/>
          <w:vertAlign w:val="superscript"/>
        </w:rPr>
        <w:t>3</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最小显示单位：0.1μg/m</w:t>
      </w:r>
      <w:r>
        <w:rPr>
          <w:rFonts w:hint="default" w:ascii="Times New Roman" w:hAnsi="Times New Roman" w:eastAsia="仿宋_GB2312" w:cs="Times New Roman"/>
          <w:b w:val="0"/>
          <w:bCs/>
          <w:sz w:val="32"/>
          <w:szCs w:val="32"/>
          <w:highlight w:val="none"/>
          <w:vertAlign w:val="superscript"/>
        </w:rPr>
        <w:t>3</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检出限≤0.1μg/m</w:t>
      </w:r>
      <w:r>
        <w:rPr>
          <w:rFonts w:hint="default" w:ascii="Times New Roman" w:hAnsi="Times New Roman" w:eastAsia="仿宋_GB2312" w:cs="Times New Roman"/>
          <w:b w:val="0"/>
          <w:bCs/>
          <w:sz w:val="32"/>
          <w:szCs w:val="32"/>
          <w:highlight w:val="none"/>
          <w:vertAlign w:val="superscript"/>
        </w:rPr>
        <w:t>3</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温度测量示值误差≤±2℃</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大气压力测量示值误差≤±1kPa</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湿度测量示值误差≤±5%RH</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平均流量偏差≤±0.5%</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流量相对标准偏差≤0.5%</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平均流量示值误差≤0.5%。</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0" w:name="_Toc6318"/>
      <w:r>
        <w:rPr>
          <w:rFonts w:hint="default" w:ascii="楷体_GB2312" w:hAnsi="楷体_GB2312" w:eastAsia="楷体_GB2312" w:cs="楷体_GB2312"/>
          <w:b w:val="0"/>
          <w:bCs/>
          <w:sz w:val="32"/>
          <w:szCs w:val="32"/>
          <w:highlight w:val="none"/>
        </w:rPr>
        <w:t>监测型噪声地图成套装备</w:t>
      </w:r>
      <w:bookmarkEnd w:id="20"/>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当前噪声污染防治领域存在信息化建设水平不足、精细化管理程度不高等问题，研究开发以监测数据为基础，以多源数据融合为核心，兼顾管理应用需求的噪声地图装备及技术，实现地图化的城市声环境大数据应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w:t>
      </w:r>
      <w:r>
        <w:rPr>
          <w:rFonts w:hint="default" w:ascii="Times New Roman" w:hAnsi="Times New Roman" w:eastAsia="仿宋_GB2312" w:cs="Times New Roman"/>
          <w:b w:val="0"/>
          <w:bCs/>
          <w:sz w:val="32"/>
          <w:szCs w:val="32"/>
          <w:highlight w:val="none"/>
          <w:lang w:val="en-US" w:eastAsia="zh-CN"/>
        </w:rPr>
        <w:t>2027年</w:t>
      </w:r>
      <w:r>
        <w:rPr>
          <w:rFonts w:hint="default" w:ascii="Times New Roman" w:hAnsi="Times New Roman" w:eastAsia="仿宋_GB2312" w:cs="Times New Roman"/>
          <w:b w:val="0"/>
          <w:bCs/>
          <w:sz w:val="32"/>
          <w:szCs w:val="32"/>
          <w:highlight w:val="none"/>
        </w:rPr>
        <w:t>完成监测型噪声地图成套装备</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val="en-US" w:eastAsia="zh-CN"/>
        </w:rPr>
        <w:t>实现街区级噪声动态更新，覆盖面积&gt;5km</w:t>
      </w:r>
      <w:r>
        <w:rPr>
          <w:rFonts w:hint="default" w:ascii="Times New Roman" w:hAnsi="Times New Roman" w:eastAsia="仿宋_GB2312" w:cs="Times New Roman"/>
          <w:b w:val="0"/>
          <w:bCs/>
          <w:sz w:val="32"/>
          <w:szCs w:val="32"/>
          <w:highlight w:val="none"/>
          <w:vertAlign w:val="superscript"/>
          <w:lang w:val="en-US" w:eastAsia="zh-CN"/>
        </w:rPr>
        <w:t>2</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时间精度≤10min、空间精度≤10m</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噪声小时平均值（LeqA）总体误差＜5%</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重点声源识别位置精度≤20m</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源强识别误差＜3%。</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1" w:name="_Toc27453"/>
      <w:r>
        <w:rPr>
          <w:rFonts w:hint="default" w:ascii="楷体_GB2312" w:hAnsi="楷体_GB2312" w:eastAsia="楷体_GB2312" w:cs="楷体_GB2312"/>
          <w:b w:val="0"/>
          <w:bCs/>
          <w:sz w:val="32"/>
          <w:szCs w:val="32"/>
          <w:highlight w:val="none"/>
        </w:rPr>
        <w:t>消耗臭氧层物</w:t>
      </w:r>
      <w:r>
        <w:rPr>
          <w:rFonts w:hint="default" w:ascii="Times New Roman" w:hAnsi="Times New Roman" w:eastAsia="楷体_GB2312" w:cs="Times New Roman"/>
          <w:b w:val="0"/>
          <w:bCs/>
          <w:sz w:val="32"/>
          <w:szCs w:val="32"/>
          <w:highlight w:val="none"/>
        </w:rPr>
        <w:t>质（ODS）现场执法专用高灵敏便携气相色谱质谱联用仪（GCMS</w:t>
      </w:r>
      <w:r>
        <w:rPr>
          <w:rFonts w:hint="default" w:ascii="Times New Roman" w:hAnsi="Times New Roman" w:eastAsia="楷体_GB2312" w:cs="Times New Roman"/>
          <w:b w:val="0"/>
          <w:bCs/>
          <w:sz w:val="32"/>
          <w:szCs w:val="32"/>
          <w:highlight w:val="none"/>
          <w:lang w:eastAsia="zh-CN"/>
        </w:rPr>
        <w:t>）</w:t>
      </w:r>
      <w:bookmarkEnd w:id="21"/>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针对现有便携GCMS对空气中ODS检测灵敏度低选择性差、无法满足ODS现场执法监测需求等问题</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通过研发突破色谱系统和真空系统等硬件技术瓶颈、建立快速定性定量软件和用于ODS筛查的专用谱库</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开发高灵敏度和选择性ODS执法监测专用便携GCMS</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实现ODS排放的快速识别和定量。</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w:t>
      </w:r>
      <w:r>
        <w:rPr>
          <w:rFonts w:hint="default" w:ascii="Times New Roman" w:hAnsi="Times New Roman" w:eastAsia="仿宋_GB2312" w:cs="Times New Roman"/>
          <w:b w:val="0"/>
          <w:bCs/>
          <w:sz w:val="32"/>
          <w:szCs w:val="32"/>
          <w:highlight w:val="none"/>
          <w:lang w:val="en-US" w:eastAsia="zh-CN"/>
        </w:rPr>
        <w:t>2027年</w:t>
      </w:r>
      <w:r>
        <w:rPr>
          <w:rFonts w:hint="default" w:ascii="Times New Roman" w:hAnsi="Times New Roman" w:eastAsia="仿宋_GB2312" w:cs="Times New Roman"/>
          <w:b w:val="0"/>
          <w:bCs/>
          <w:sz w:val="32"/>
          <w:szCs w:val="32"/>
          <w:highlight w:val="none"/>
        </w:rPr>
        <w:t>完成</w:t>
      </w:r>
      <w:r>
        <w:rPr>
          <w:rFonts w:hint="default" w:ascii="Times New Roman" w:hAnsi="Times New Roman" w:eastAsia="仿宋_GB2312" w:cs="Times New Roman"/>
          <w:b w:val="0"/>
          <w:bCs/>
          <w:sz w:val="32"/>
          <w:szCs w:val="32"/>
          <w:highlight w:val="none"/>
          <w:lang w:val="en-US" w:eastAsia="zh-CN"/>
        </w:rPr>
        <w:t>可用于消耗臭氧层物质（ODS）和氢氟碳化物（HFCs）分析的</w:t>
      </w:r>
      <w:r>
        <w:rPr>
          <w:rFonts w:hint="default" w:ascii="Times New Roman" w:hAnsi="Times New Roman" w:eastAsia="仿宋_GB2312" w:cs="Times New Roman"/>
          <w:bCs/>
          <w:sz w:val="32"/>
          <w:szCs w:val="32"/>
          <w:highlight w:val="none"/>
        </w:rPr>
        <w:t>便携GCMS</w:t>
      </w:r>
      <w:r>
        <w:rPr>
          <w:rFonts w:hint="default" w:ascii="Times New Roman" w:hAnsi="Times New Roman" w:eastAsia="仿宋_GB2312" w:cs="Times New Roman"/>
          <w:bCs/>
          <w:sz w:val="32"/>
          <w:szCs w:val="32"/>
          <w:highlight w:val="none"/>
          <w:lang w:val="en-US" w:eastAsia="zh-CN"/>
        </w:rPr>
        <w:t>研制</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实现仪器可装备于移动监测车上，</w:t>
      </w:r>
      <w:r>
        <w:rPr>
          <w:rFonts w:hint="eastAsia" w:ascii="Times New Roman" w:hAnsi="Times New Roman" w:eastAsia="仿宋_GB2312" w:cs="Times New Roman"/>
          <w:b w:val="0"/>
          <w:bCs/>
          <w:sz w:val="32"/>
          <w:szCs w:val="32"/>
          <w:highlight w:val="none"/>
          <w:lang w:val="en-US" w:eastAsia="zh-CN"/>
        </w:rPr>
        <w:t>或</w:t>
      </w:r>
      <w:r>
        <w:rPr>
          <w:rFonts w:hint="default" w:ascii="Times New Roman" w:hAnsi="Times New Roman" w:eastAsia="仿宋_GB2312" w:cs="Times New Roman"/>
          <w:b w:val="0"/>
          <w:bCs/>
          <w:sz w:val="32"/>
          <w:szCs w:val="32"/>
          <w:highlight w:val="none"/>
          <w:lang w:val="en-US" w:eastAsia="zh-CN"/>
        </w:rPr>
        <w:t>通过小拖车或双人手抬的方式移至汽车无法驶入的现场进行监测</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检出限：CFC-11≤2ppb、CFC-12≤3ppb、HCFC-22≤2ppb、HCFC-141b≤1ppb、HFC-32≤5ppb、HFC-125≤5ppb、HFC-134a≤5ppb、HFC-143a≤5ppb、HFC-152a≤5ppb、HFC-23≤10ppb</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质量数范围：1~</w:t>
      </w:r>
      <w:r>
        <w:rPr>
          <w:rFonts w:hint="eastAsia" w:ascii="Times New Roman" w:hAnsi="Times New Roman" w:eastAsia="仿宋_GB2312" w:cs="Times New Roman"/>
          <w:b w:val="0"/>
          <w:bCs/>
          <w:sz w:val="32"/>
          <w:szCs w:val="32"/>
          <w:highlight w:val="none"/>
          <w:lang w:val="en-US" w:eastAsia="zh-CN"/>
        </w:rPr>
        <w:t>30</w:t>
      </w:r>
      <w:r>
        <w:rPr>
          <w:rFonts w:hint="default" w:ascii="Times New Roman" w:hAnsi="Times New Roman" w:eastAsia="仿宋_GB2312" w:cs="Times New Roman"/>
          <w:b w:val="0"/>
          <w:bCs/>
          <w:sz w:val="32"/>
          <w:szCs w:val="32"/>
          <w:highlight w:val="none"/>
          <w:lang w:val="en-US" w:eastAsia="zh-CN"/>
        </w:rPr>
        <w:t>0u，覆盖挥发性有机物及半挥发性有机物</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扫描速率≥1000u/s</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支持全程伴热，伴热控温：室温10℃~150℃可调</w:t>
      </w:r>
      <w:r>
        <w:rPr>
          <w:rFonts w:hint="default" w:ascii="Times New Roman" w:hAnsi="Times New Roman" w:eastAsia="仿宋_GB2312" w:cs="Times New Roman"/>
          <w:bCs/>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600" w:lineRule="exact"/>
        <w:ind w:left="643"/>
        <w:textAlignment w:val="auto"/>
        <w:rPr>
          <w:rFonts w:hint="default" w:ascii="黑体" w:hAnsi="黑体" w:eastAsia="黑体" w:cs="黑体"/>
          <w:b w:val="0"/>
          <w:bCs w:val="0"/>
          <w:sz w:val="32"/>
          <w:szCs w:val="32"/>
          <w:highlight w:val="none"/>
          <w:lang w:val="en-US" w:eastAsia="zh-CN"/>
        </w:rPr>
      </w:pPr>
      <w:r>
        <w:rPr>
          <w:rFonts w:hint="default" w:ascii="黑体" w:hAnsi="黑体" w:eastAsia="黑体" w:cs="黑体"/>
          <w:b w:val="0"/>
          <w:bCs w:val="0"/>
          <w:sz w:val="32"/>
          <w:szCs w:val="32"/>
          <w:highlight w:val="none"/>
          <w:lang w:val="en-US" w:eastAsia="zh-CN"/>
        </w:rPr>
        <w:t>二、关键部件、材料药剂、控制装置</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2" w:name="_Toc1097"/>
      <w:r>
        <w:rPr>
          <w:rFonts w:hint="default" w:ascii="楷体_GB2312" w:hAnsi="楷体_GB2312" w:eastAsia="楷体_GB2312" w:cs="楷体_GB2312"/>
          <w:b w:val="0"/>
          <w:bCs/>
          <w:sz w:val="32"/>
          <w:szCs w:val="32"/>
          <w:highlight w:val="none"/>
        </w:rPr>
        <w:t>高效纳滤膜材料</w:t>
      </w:r>
      <w:bookmarkEnd w:id="22"/>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针对国产纳滤膜材料分盐率低、透水量少，耐受压差不足，使用寿命短等问题，突破纳滤膜的关键原材料无纺布和聚砜材料的制备工艺，开发国产高效、低成本纳滤膜材料。</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到2027年完成高效纳滤膜材料</w:t>
      </w:r>
      <w:r>
        <w:rPr>
          <w:rFonts w:hint="default" w:ascii="Times New Roman" w:hAnsi="Times New Roman" w:eastAsia="仿宋_GB2312" w:cs="Times New Roman"/>
          <w:b w:val="0"/>
          <w:bCs/>
          <w:sz w:val="32"/>
          <w:szCs w:val="32"/>
          <w:highlight w:val="none"/>
          <w:lang w:val="en-US" w:eastAsia="zh-CN"/>
        </w:rPr>
        <w:t>研制</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脱盐率：110psi，硫酸镁脱盐率≥99%</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透水量＞30m</w:t>
      </w:r>
      <w:r>
        <w:rPr>
          <w:rFonts w:hint="default" w:ascii="Times New Roman" w:hAnsi="Times New Roman" w:eastAsia="仿宋_GB2312" w:cs="Times New Roman"/>
          <w:b w:val="0"/>
          <w:bCs/>
          <w:sz w:val="32"/>
          <w:szCs w:val="32"/>
          <w:highlight w:val="none"/>
          <w:vertAlign w:val="superscript"/>
        </w:rPr>
        <w:t>3</w:t>
      </w:r>
      <w:r>
        <w:rPr>
          <w:rFonts w:hint="default" w:ascii="Times New Roman" w:hAnsi="Times New Roman" w:eastAsia="仿宋_GB2312" w:cs="Times New Roman"/>
          <w:b w:val="0"/>
          <w:bCs/>
          <w:sz w:val="32"/>
          <w:szCs w:val="32"/>
          <w:highlight w:val="none"/>
        </w:rPr>
        <w:t>/d</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耐受压差＞8Mpa。</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3" w:name="_Toc5616"/>
      <w:r>
        <w:rPr>
          <w:rFonts w:hint="default" w:ascii="楷体_GB2312" w:hAnsi="楷体_GB2312" w:eastAsia="楷体_GB2312" w:cs="楷体_GB2312"/>
          <w:b w:val="0"/>
          <w:bCs/>
          <w:sz w:val="32"/>
          <w:szCs w:val="32"/>
          <w:highlight w:val="none"/>
        </w:rPr>
        <w:t>高稳定高活性非贵金属基阳极材料</w:t>
      </w:r>
      <w:bookmarkEnd w:id="23"/>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针对目前常用的钛基金属氧化物阳极材料电极活性低以及掺硼金刚石电极价格昂贵的问题，突破高稳定高活性非贵金属基阳极材料制备工艺</w:t>
      </w:r>
      <w:r>
        <w:rPr>
          <w:rFonts w:hint="eastAsia" w:ascii="Times New Roman" w:hAnsi="Times New Roman" w:eastAsia="仿宋_GB2312" w:cs="Times New Roman"/>
          <w:bCs/>
          <w:sz w:val="32"/>
          <w:szCs w:val="32"/>
          <w:highlight w:val="none"/>
          <w:lang w:eastAsia="zh-CN"/>
        </w:rPr>
        <w:t>。</w:t>
      </w:r>
      <w:r>
        <w:rPr>
          <w:rFonts w:hint="eastAsia" w:ascii="Times New Roman" w:hAnsi="Times New Roman" w:eastAsia="仿宋_GB2312" w:cs="Times New Roman"/>
          <w:bCs/>
          <w:sz w:val="32"/>
          <w:szCs w:val="32"/>
        </w:rPr>
        <w:t>开发高催化活性、高物化稳定性的非贵金属基电活性膜材料，通过定向调控界面组成与结构，提升电极选择性氧化、抗结垢性能，支撑实现</w:t>
      </w:r>
      <w:r>
        <w:rPr>
          <w:rFonts w:ascii="Times New Roman" w:hAnsi="Times New Roman" w:eastAsia="仿宋_GB2312" w:cs="Times New Roman"/>
          <w:bCs/>
          <w:sz w:val="32"/>
          <w:szCs w:val="32"/>
        </w:rPr>
        <w:t>基于穿流（Flow-through）模式的电化学反应器</w:t>
      </w:r>
      <w:r>
        <w:rPr>
          <w:rFonts w:hint="eastAsia" w:ascii="Times New Roman" w:hAnsi="Times New Roman" w:eastAsia="仿宋_GB2312" w:cs="Times New Roman"/>
          <w:bCs/>
          <w:sz w:val="32"/>
          <w:szCs w:val="32"/>
        </w:rPr>
        <w:t>规模化制备。</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到2027年完成高稳定高活性非贵金属基阳极材料</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eastAsia="zh-CN"/>
        </w:rPr>
        <w:t>实现</w:t>
      </w:r>
      <w:r>
        <w:rPr>
          <w:rFonts w:hint="default" w:ascii="Times New Roman" w:hAnsi="Times New Roman" w:eastAsia="仿宋_GB2312" w:cs="Times New Roman"/>
          <w:bCs/>
          <w:sz w:val="32"/>
          <w:szCs w:val="32"/>
        </w:rPr>
        <w:t>电极使用寿命≥5年，基于该阳极材料研制的电化学反应器处理规模达到10m</w:t>
      </w:r>
      <w:r>
        <w:rPr>
          <w:rFonts w:hint="default" w:ascii="Times New Roman" w:hAnsi="Times New Roman" w:eastAsia="仿宋_GB2312" w:cs="Times New Roman"/>
          <w:bCs/>
          <w:sz w:val="32"/>
          <w:szCs w:val="32"/>
          <w:vertAlign w:val="superscript"/>
        </w:rPr>
        <w:t>3</w:t>
      </w:r>
      <w:r>
        <w:rPr>
          <w:rFonts w:hint="default" w:ascii="Times New Roman" w:hAnsi="Times New Roman" w:eastAsia="仿宋_GB2312" w:cs="Times New Roman"/>
          <w:bCs/>
          <w:sz w:val="32"/>
          <w:szCs w:val="32"/>
        </w:rPr>
        <w:t>/h，针对高盐工业有机废水处理出水</w:t>
      </w:r>
      <w:r>
        <w:rPr>
          <w:rFonts w:hint="eastAsia" w:ascii="Times New Roman" w:hAnsi="Times New Roman" w:eastAsia="仿宋_GB2312" w:cs="Times New Roman"/>
          <w:bCs/>
          <w:sz w:val="32"/>
          <w:szCs w:val="32"/>
          <w:lang w:eastAsia="zh-CN"/>
        </w:rPr>
        <w:t>化学需氧量</w:t>
      </w:r>
      <w:r>
        <w:rPr>
          <w:rFonts w:hint="default" w:ascii="Times New Roman" w:hAnsi="Times New Roman" w:eastAsia="仿宋_GB2312" w:cs="Times New Roman"/>
          <w:bCs/>
          <w:sz w:val="32"/>
          <w:szCs w:val="32"/>
        </w:rPr>
        <w:t>＜1000mg/L，深度处理出水</w:t>
      </w:r>
      <w:r>
        <w:rPr>
          <w:rFonts w:hint="eastAsia" w:ascii="Times New Roman" w:hAnsi="Times New Roman" w:eastAsia="仿宋_GB2312" w:cs="Times New Roman"/>
          <w:bCs/>
          <w:sz w:val="32"/>
          <w:szCs w:val="32"/>
          <w:lang w:eastAsia="zh-CN"/>
        </w:rPr>
        <w:t>化学需氧量</w:t>
      </w:r>
      <w:r>
        <w:rPr>
          <w:rFonts w:hint="default" w:ascii="Times New Roman" w:hAnsi="Times New Roman" w:eastAsia="仿宋_GB2312" w:cs="Times New Roman"/>
          <w:bCs/>
          <w:sz w:val="32"/>
          <w:szCs w:val="32"/>
        </w:rPr>
        <w:t>＜50mg/L，吨水处理成本比常规电化学反应器降低25%以上。</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4" w:name="_Toc24008"/>
      <w:r>
        <w:rPr>
          <w:rFonts w:hint="default" w:ascii="楷体_GB2312" w:hAnsi="楷体_GB2312" w:eastAsia="楷体_GB2312" w:cs="楷体_GB2312"/>
          <w:b w:val="0"/>
          <w:bCs/>
          <w:sz w:val="32"/>
          <w:szCs w:val="32"/>
          <w:highlight w:val="none"/>
        </w:rPr>
        <w:t>非电行业复杂工况烟气深度净化稀土脱硝催化剂</w:t>
      </w:r>
      <w:bookmarkEnd w:id="24"/>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现有商用钒钛脱硝催化剂存在操作温度高、活性温度窗口窄以及低温下硫酸盐中毒等问题，突破非电行业复杂工况下稀土基脱硝催化剂关键制备工艺放大技术，开发用于钢铁等非电行业的低温稀土基烟气脱硝催化剂，实现国产稀土基脱硝催化剂的产业化应用。</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到2027年完成非电行业复杂工况烟气深度净化稀土脱硝催化剂</w:t>
      </w:r>
      <w:r>
        <w:rPr>
          <w:rFonts w:hint="default" w:ascii="Times New Roman" w:hAnsi="Times New Roman" w:eastAsia="仿宋_GB2312" w:cs="Times New Roman"/>
          <w:b w:val="0"/>
          <w:bCs/>
          <w:sz w:val="32"/>
          <w:szCs w:val="32"/>
          <w:highlight w:val="none"/>
          <w:lang w:val="en-US" w:eastAsia="zh-CN"/>
        </w:rPr>
        <w:t>研制</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180℃下脱硝效率</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80%，氨逃逸率</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5mg/Nm</w:t>
      </w:r>
      <w:r>
        <w:rPr>
          <w:rFonts w:hint="default" w:ascii="Times New Roman" w:hAnsi="Times New Roman" w:eastAsia="仿宋_GB2312" w:cs="Times New Roman"/>
          <w:b w:val="0"/>
          <w:bCs/>
          <w:sz w:val="32"/>
          <w:szCs w:val="32"/>
          <w:highlight w:val="none"/>
          <w:vertAlign w:val="superscript"/>
        </w:rPr>
        <w:t>3</w:t>
      </w:r>
      <w:r>
        <w:rPr>
          <w:rFonts w:hint="default" w:ascii="Times New Roman" w:hAnsi="Times New Roman" w:eastAsia="仿宋_GB2312" w:cs="Times New Roman"/>
          <w:b w:val="0"/>
          <w:bCs/>
          <w:sz w:val="32"/>
          <w:szCs w:val="32"/>
          <w:highlight w:val="none"/>
        </w:rPr>
        <w:t>，SO</w:t>
      </w:r>
      <w:r>
        <w:rPr>
          <w:rFonts w:hint="default" w:ascii="Times New Roman" w:hAnsi="Times New Roman" w:eastAsia="仿宋_GB2312" w:cs="Times New Roman"/>
          <w:b w:val="0"/>
          <w:bCs/>
          <w:sz w:val="32"/>
          <w:szCs w:val="32"/>
          <w:highlight w:val="none"/>
          <w:vertAlign w:val="subscript"/>
        </w:rPr>
        <w:t>2</w:t>
      </w:r>
      <w:r>
        <w:rPr>
          <w:rFonts w:hint="default" w:ascii="Times New Roman" w:hAnsi="Times New Roman" w:eastAsia="仿宋_GB2312" w:cs="Times New Roman"/>
          <w:b w:val="0"/>
          <w:bCs/>
          <w:sz w:val="32"/>
          <w:szCs w:val="32"/>
          <w:highlight w:val="none"/>
        </w:rPr>
        <w:t>/SO</w:t>
      </w:r>
      <w:r>
        <w:rPr>
          <w:rFonts w:hint="default" w:ascii="Times New Roman" w:hAnsi="Times New Roman" w:eastAsia="仿宋_GB2312" w:cs="Times New Roman"/>
          <w:b w:val="0"/>
          <w:bCs/>
          <w:sz w:val="32"/>
          <w:szCs w:val="32"/>
          <w:highlight w:val="none"/>
          <w:vertAlign w:val="subscript"/>
        </w:rPr>
        <w:t>3</w:t>
      </w:r>
      <w:r>
        <w:rPr>
          <w:rFonts w:hint="default" w:ascii="Times New Roman" w:hAnsi="Times New Roman" w:eastAsia="仿宋_GB2312" w:cs="Times New Roman"/>
          <w:b w:val="0"/>
          <w:bCs/>
          <w:sz w:val="32"/>
          <w:szCs w:val="32"/>
          <w:highlight w:val="none"/>
        </w:rPr>
        <w:t>转化率</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0.5%。</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5" w:name="_Toc26995"/>
      <w:r>
        <w:rPr>
          <w:rFonts w:hint="default" w:ascii="楷体_GB2312" w:hAnsi="楷体_GB2312" w:eastAsia="楷体_GB2312" w:cs="楷体_GB2312"/>
          <w:b w:val="0"/>
          <w:bCs/>
          <w:sz w:val="32"/>
          <w:szCs w:val="32"/>
          <w:highlight w:val="none"/>
        </w:rPr>
        <w:t>一机两塔/一机多塔协调运行装置</w:t>
      </w:r>
      <w:bookmarkEnd w:id="25"/>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针对干式烟气净化装置单塔一般适应设计烟气负荷75%</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100%，难以适应工业烟气工况变化大的需求，研究一机两塔</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一机多塔协调运行装置适应烟气宽负荷低能耗技术，突破多塔协调控制、烟气负荷分段控制技术，实现烟气负荷0</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120%范围内自适应调节，达到烟气低负荷低能耗处理。</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到2027年完成一机两塔</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一机多塔协调运行装置产品研制与示范应用</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实现烟气负荷0</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120%范围内自适应调节</w:t>
      </w:r>
      <w:r>
        <w:rPr>
          <w:rFonts w:hint="eastAsia" w:eastAsia="仿宋_GB2312" w:cs="Times New Roman"/>
          <w:bCs/>
          <w:sz w:val="32"/>
          <w:szCs w:val="32"/>
          <w:highlight w:val="none"/>
          <w:lang w:eastAsia="zh-CN"/>
        </w:rPr>
        <w:t>，</w:t>
      </w:r>
      <w:r>
        <w:rPr>
          <w:rFonts w:hint="eastAsia" w:ascii="Times New Roman" w:hAnsi="Times New Roman" w:eastAsia="仿宋_GB2312" w:cs="Times New Roman"/>
          <w:bCs/>
          <w:sz w:val="32"/>
          <w:szCs w:val="32"/>
          <w:highlight w:val="none"/>
          <w:lang w:eastAsia="zh-CN"/>
        </w:rPr>
        <w:t>二氧化硫</w:t>
      </w:r>
      <w:r>
        <w:rPr>
          <w:rFonts w:hint="default" w:ascii="Times New Roman" w:hAnsi="Times New Roman" w:eastAsia="仿宋_GB2312" w:cs="Times New Roman"/>
          <w:bCs/>
          <w:sz w:val="32"/>
          <w:szCs w:val="32"/>
          <w:highlight w:val="none"/>
        </w:rPr>
        <w:t>≤35mg/Nm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eastAsia="zh-CN"/>
        </w:rPr>
        <w:t>氮氧化物</w:t>
      </w:r>
      <w:r>
        <w:rPr>
          <w:rFonts w:hint="default" w:ascii="Times New Roman" w:hAnsi="Times New Roman" w:eastAsia="仿宋_GB2312" w:cs="Times New Roman"/>
          <w:bCs/>
          <w:sz w:val="32"/>
          <w:szCs w:val="32"/>
          <w:highlight w:val="none"/>
        </w:rPr>
        <w:t>≤50mg/Nm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、粉尘≤5mg/Nm</w:t>
      </w:r>
      <w:r>
        <w:rPr>
          <w:rFonts w:hint="default" w:ascii="Times New Roman" w:hAnsi="Times New Roman" w:eastAsia="仿宋_GB2312" w:cs="Times New Roman"/>
          <w:bCs/>
          <w:sz w:val="32"/>
          <w:szCs w:val="32"/>
          <w:highlight w:val="none"/>
          <w:vertAlign w:val="superscript"/>
        </w:rPr>
        <w:t>3</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示范工程稳定运行≥2000小时。</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6" w:name="_Toc13287"/>
      <w:r>
        <w:rPr>
          <w:rFonts w:hint="default" w:ascii="楷体_GB2312" w:hAnsi="楷体_GB2312" w:eastAsia="楷体_GB2312" w:cs="楷体_GB2312"/>
          <w:b w:val="0"/>
          <w:bCs/>
          <w:sz w:val="32"/>
          <w:szCs w:val="32"/>
          <w:highlight w:val="none"/>
        </w:rPr>
        <w:t>恶臭精准监测</w:t>
      </w:r>
      <w:r>
        <w:rPr>
          <w:rFonts w:hint="eastAsia" w:ascii="楷体_GB2312" w:hAnsi="楷体_GB2312" w:eastAsia="楷体_GB2312" w:cs="楷体_GB2312"/>
          <w:b w:val="0"/>
          <w:bCs/>
          <w:sz w:val="32"/>
          <w:szCs w:val="32"/>
          <w:highlight w:val="none"/>
          <w:lang w:val="en-US" w:eastAsia="zh-CN"/>
        </w:rPr>
        <w:t>装备</w:t>
      </w:r>
      <w:bookmarkEnd w:id="26"/>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针对恶臭来源广泛、组分复杂、嗅觉阈值低的特点</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开发恶臭监测感知、识别溯源先进技术装备，实现恶臭数智化</w:t>
      </w:r>
      <w:r>
        <w:rPr>
          <w:rFonts w:hint="eastAsia" w:ascii="Times New Roman" w:hAnsi="Times New Roman" w:eastAsia="仿宋_GB2312" w:cs="Times New Roman"/>
          <w:bCs/>
          <w:sz w:val="32"/>
          <w:szCs w:val="32"/>
          <w:highlight w:val="none"/>
          <w:lang w:val="en-US" w:eastAsia="zh-CN"/>
        </w:rPr>
        <w:t>监测</w:t>
      </w:r>
      <w:r>
        <w:rPr>
          <w:rFonts w:hint="default" w:ascii="Times New Roman" w:hAnsi="Times New Roman" w:eastAsia="仿宋_GB2312" w:cs="Times New Roman"/>
          <w:bCs/>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sz w:val="32"/>
          <w:szCs w:val="32"/>
          <w:highlight w:val="none"/>
        </w:rPr>
        <w:t>恶臭精准监测装备</w:t>
      </w:r>
      <w:r>
        <w:rPr>
          <w:rFonts w:hint="default" w:ascii="Times New Roman" w:hAnsi="Times New Roman" w:eastAsia="仿宋_GB2312" w:cs="Times New Roman"/>
          <w:sz w:val="32"/>
          <w:szCs w:val="32"/>
          <w:highlight w:val="none"/>
          <w:lang w:val="en-US" w:eastAsia="zh-CN"/>
        </w:rPr>
        <w:t>研制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lang w:eastAsia="zh-CN"/>
        </w:rPr>
        <w:t>恶臭监测</w:t>
      </w:r>
      <w:r>
        <w:rPr>
          <w:rFonts w:hint="default" w:ascii="Times New Roman" w:hAnsi="Times New Roman" w:eastAsia="仿宋_GB2312" w:cs="Times New Roman"/>
          <w:sz w:val="32"/>
          <w:szCs w:val="32"/>
          <w:highlight w:val="none"/>
        </w:rPr>
        <w:t>识别目标不少于500种</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最低检出限≤10ppt</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开发恶臭污染物与人体感官协同感知监测技术和装备，感官拟合匹配度不低于85%</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臭气浓度检出限10（无量纲），响应时间≤5秒</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7" w:name="_Toc6848"/>
      <w:r>
        <w:rPr>
          <w:rFonts w:hint="default" w:ascii="楷体_GB2312" w:hAnsi="楷体_GB2312" w:eastAsia="楷体_GB2312" w:cs="楷体_GB2312"/>
          <w:b w:val="0"/>
          <w:bCs/>
          <w:sz w:val="32"/>
          <w:szCs w:val="32"/>
          <w:highlight w:val="none"/>
        </w:rPr>
        <w:t>餐饮油烟精准监测</w:t>
      </w:r>
      <w:r>
        <w:rPr>
          <w:rFonts w:hint="eastAsia" w:ascii="楷体_GB2312" w:hAnsi="楷体_GB2312" w:eastAsia="楷体_GB2312" w:cs="楷体_GB2312"/>
          <w:b w:val="0"/>
          <w:bCs/>
          <w:sz w:val="32"/>
          <w:szCs w:val="32"/>
          <w:highlight w:val="none"/>
          <w:lang w:val="en-US" w:eastAsia="zh-CN"/>
        </w:rPr>
        <w:t>装备</w:t>
      </w:r>
    </w:p>
    <w:p>
      <w:pPr>
        <w:snapToGrid w:val="0"/>
        <w:spacing w:line="600" w:lineRule="exact"/>
        <w:ind w:firstLine="645"/>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针对餐饮油烟组分复杂及突发性强的特点</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开发餐饮油烟监测感知、识别溯源先进技术装备，实现餐饮油烟数智化</w:t>
      </w:r>
      <w:r>
        <w:rPr>
          <w:rFonts w:hint="eastAsia" w:ascii="Times New Roman" w:hAnsi="Times New Roman" w:eastAsia="仿宋_GB2312" w:cs="Times New Roman"/>
          <w:bCs/>
          <w:sz w:val="32"/>
          <w:szCs w:val="32"/>
          <w:highlight w:val="none"/>
          <w:lang w:val="en-US" w:eastAsia="zh-CN"/>
        </w:rPr>
        <w:t>监测</w:t>
      </w:r>
      <w:r>
        <w:rPr>
          <w:rFonts w:hint="default" w:ascii="Times New Roman" w:hAnsi="Times New Roman" w:eastAsia="仿宋_GB2312" w:cs="Times New Roman"/>
          <w:bCs/>
          <w:sz w:val="32"/>
          <w:szCs w:val="32"/>
          <w:highlight w:val="none"/>
        </w:rPr>
        <w:t>。</w:t>
      </w:r>
    </w:p>
    <w:p>
      <w:pPr>
        <w:snapToGrid w:val="0"/>
        <w:spacing w:line="600" w:lineRule="exact"/>
        <w:ind w:firstLine="645"/>
        <w:rPr>
          <w:rFonts w:hint="default"/>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sz w:val="32"/>
          <w:szCs w:val="32"/>
          <w:highlight w:val="none"/>
        </w:rPr>
        <w:t>餐饮油烟精准监测装备</w:t>
      </w:r>
      <w:r>
        <w:rPr>
          <w:rFonts w:hint="default" w:ascii="Times New Roman" w:hAnsi="Times New Roman" w:eastAsia="仿宋_GB2312" w:cs="Times New Roman"/>
          <w:sz w:val="32"/>
          <w:szCs w:val="32"/>
          <w:highlight w:val="none"/>
          <w:lang w:val="en-US" w:eastAsia="zh-CN"/>
        </w:rPr>
        <w:t>研制</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rPr>
        <w:t>餐饮油烟精准监测结果与标准参比方法相对误差≤10%</w:t>
      </w:r>
      <w:r>
        <w:rPr>
          <w:rFonts w:hint="default" w:ascii="Times New Roman" w:hAnsi="Times New Roman" w:eastAsia="仿宋_GB2312" w:cs="Times New Roman"/>
          <w:sz w:val="32"/>
          <w:szCs w:val="32"/>
          <w:highlight w:val="none"/>
          <w:lang w:val="en-US" w:eastAsia="zh-CN"/>
        </w:rPr>
        <w:t>或无显著性差异（低浓度时）</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采样分析时间≤2h</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运行状态监控设备在识别</w:t>
      </w:r>
      <w:r>
        <w:rPr>
          <w:rFonts w:hint="default" w:ascii="Times New Roman" w:hAnsi="Times New Roman" w:eastAsia="仿宋_GB2312" w:cs="Times New Roman"/>
          <w:sz w:val="32"/>
          <w:szCs w:val="32"/>
          <w:highlight w:val="none"/>
          <w:lang w:val="en-US" w:eastAsia="zh-CN"/>
        </w:rPr>
        <w:t>静电式净化器</w:t>
      </w:r>
      <w:r>
        <w:rPr>
          <w:rFonts w:hint="default" w:ascii="Times New Roman" w:hAnsi="Times New Roman" w:eastAsia="仿宋_GB2312" w:cs="Times New Roman"/>
          <w:sz w:val="32"/>
          <w:szCs w:val="32"/>
          <w:highlight w:val="none"/>
        </w:rPr>
        <w:t>非正常运行工况的</w:t>
      </w:r>
      <w:r>
        <w:rPr>
          <w:rFonts w:hint="default" w:ascii="Times New Roman" w:hAnsi="Times New Roman" w:eastAsia="仿宋_GB2312" w:cs="Times New Roman"/>
          <w:sz w:val="32"/>
          <w:szCs w:val="32"/>
          <w:highlight w:val="none"/>
          <w:lang w:val="en-US" w:eastAsia="zh-CN"/>
        </w:rPr>
        <w:t>预警</w:t>
      </w:r>
      <w:r>
        <w:rPr>
          <w:rFonts w:hint="default" w:ascii="Times New Roman" w:hAnsi="Times New Roman" w:eastAsia="仿宋_GB2312" w:cs="Times New Roman"/>
          <w:sz w:val="32"/>
          <w:szCs w:val="32"/>
          <w:highlight w:val="none"/>
        </w:rPr>
        <w:t>准确率≥95%</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异味监测结果能够真实反映实际异味情况，与标准参比方法相对误差≤20%</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r>
        <w:rPr>
          <w:rFonts w:hint="default" w:ascii="楷体_GB2312" w:hAnsi="楷体_GB2312" w:eastAsia="楷体_GB2312" w:cs="楷体_GB2312"/>
          <w:b w:val="0"/>
          <w:bCs/>
          <w:sz w:val="32"/>
          <w:szCs w:val="32"/>
          <w:highlight w:val="none"/>
        </w:rPr>
        <w:t>高光谱图像的水体倒影区域光谱恢复技术</w:t>
      </w:r>
      <w:bookmarkEnd w:id="27"/>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针对水生态环境领域监测新领域的</w:t>
      </w:r>
      <w:r>
        <w:rPr>
          <w:rFonts w:hint="default" w:ascii="Times New Roman" w:hAnsi="Times New Roman" w:eastAsia="仿宋_GB2312" w:cs="Times New Roman"/>
          <w:bCs/>
          <w:sz w:val="32"/>
          <w:szCs w:val="32"/>
          <w:highlight w:val="none"/>
          <w:lang w:val="en-US" w:eastAsia="zh-CN"/>
        </w:rPr>
        <w:t>高光谱</w:t>
      </w:r>
      <w:r>
        <w:rPr>
          <w:rFonts w:hint="default" w:ascii="Times New Roman" w:hAnsi="Times New Roman" w:eastAsia="仿宋_GB2312" w:cs="Times New Roman"/>
          <w:bCs/>
          <w:sz w:val="32"/>
          <w:szCs w:val="32"/>
          <w:highlight w:val="none"/>
        </w:rPr>
        <w:t>水体倒影区域处理</w:t>
      </w:r>
      <w:r>
        <w:rPr>
          <w:rFonts w:hint="default" w:ascii="Times New Roman" w:hAnsi="Times New Roman" w:eastAsia="仿宋_GB2312" w:cs="Times New Roman"/>
          <w:bCs/>
          <w:sz w:val="32"/>
          <w:szCs w:val="32"/>
          <w:highlight w:val="none"/>
          <w:lang w:val="en-US" w:eastAsia="zh-CN"/>
        </w:rPr>
        <w:t>技术空白</w:t>
      </w:r>
      <w:r>
        <w:rPr>
          <w:rFonts w:hint="default" w:ascii="Times New Roman" w:hAnsi="Times New Roman" w:eastAsia="仿宋_GB2312" w:cs="Times New Roman"/>
          <w:bCs/>
          <w:sz w:val="32"/>
          <w:szCs w:val="32"/>
          <w:highlight w:val="none"/>
        </w:rPr>
        <w:t>，突破高光谱图像的水体倒影区域光谱恢复技术</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开发水体倒影区域高光谱图像恢复算法，实现具备较高准确度光谱信息识别的国产设备，获取完整的水体及岸带光谱信息</w:t>
      </w:r>
      <w:r>
        <w:rPr>
          <w:rFonts w:hint="default" w:ascii="Times New Roman" w:hAnsi="Times New Roman" w:eastAsia="仿宋_GB2312" w:cs="Times New Roman"/>
          <w:bCs/>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w:t>
      </w:r>
      <w:r>
        <w:rPr>
          <w:rFonts w:hint="default" w:ascii="Times New Roman" w:hAnsi="Times New Roman" w:eastAsia="仿宋_GB2312" w:cs="Times New Roman"/>
          <w:b w:val="0"/>
          <w:bCs/>
          <w:sz w:val="32"/>
          <w:szCs w:val="32"/>
          <w:highlight w:val="none"/>
          <w:lang w:val="en-US" w:eastAsia="zh-CN"/>
        </w:rPr>
        <w:t>高光谱图像的水体倒影区域光谱恢复技术攻关。实现光谱重建精度（RMSE）&lt;0.5</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光谱重建时间&lt;5min/次</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光谱一致性系数&gt;0.8。</w:t>
      </w:r>
    </w:p>
    <w:bookmarkEnd w:id="1"/>
    <w:p/>
    <w:sectPr>
      <w:headerReference r:id="rId3" w:type="default"/>
      <w:footerReference r:id="rId4" w:type="default"/>
      <w:pgSz w:w="11906" w:h="16839"/>
      <w:pgMar w:top="1701" w:right="1587" w:bottom="1587" w:left="1587" w:header="0" w:footer="108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Cascadia Mono SemiLight"/>
    <w:panose1 w:val="020B0603030804020204"/>
    <w:charset w:val="00"/>
    <w:family w:val="roman"/>
    <w:pitch w:val="default"/>
    <w:sig w:usb0="E7006EFF" w:usb1="D200FDFF" w:usb2="0A246029" w:usb3="0400200C" w:csb0="600001FF" w:csb1="DFFF0000"/>
  </w:font>
  <w:font w:name="Cascadia Mono SemiLight">
    <w:panose1 w:val="020B0609020000020004"/>
    <w:charset w:val="00"/>
    <w:family w:val="auto"/>
    <w:pitch w:val="default"/>
    <w:sig w:usb0="A1002AFF" w:usb1="C200F9FB" w:usb2="00040020" w:usb3="00000000" w:csb0="6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t>18</w:t>
                          </w:r>
                          <w:r>
                            <w:rPr>
                              <w:rFonts w:hint="default" w:ascii="Times New Roman" w:hAnsi="Times New Roman" w:cs="Times New Roman"/>
                              <w:sz w:val="24"/>
                              <w:szCs w:val="24"/>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RNsmX5gEAAMcD&#10;AAAOAAAAAAAAAAEAIAAAAB8BAABkcnMvZTJvRG9jLnhtbFBLBQYAAAAABgAGAFkBAAB3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t>18</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4CD5CC"/>
    <w:multiLevelType w:val="singleLevel"/>
    <w:tmpl w:val="6C4CD5C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FF9190"/>
    <w:rsid w:val="27EF6C3E"/>
    <w:rsid w:val="3373DCBB"/>
    <w:rsid w:val="36FFAA8D"/>
    <w:rsid w:val="3FED866A"/>
    <w:rsid w:val="4EFBF7E1"/>
    <w:rsid w:val="4FFE155D"/>
    <w:rsid w:val="4FFEC75F"/>
    <w:rsid w:val="52F73A28"/>
    <w:rsid w:val="5ADF7039"/>
    <w:rsid w:val="5EBF5979"/>
    <w:rsid w:val="79DF6B69"/>
    <w:rsid w:val="7AE03A49"/>
    <w:rsid w:val="7FF9A078"/>
    <w:rsid w:val="9AF3DDB7"/>
    <w:rsid w:val="9DBB6F5B"/>
    <w:rsid w:val="A6EB2678"/>
    <w:rsid w:val="A8FF31E8"/>
    <w:rsid w:val="ABFF6EBB"/>
    <w:rsid w:val="BFAECD24"/>
    <w:rsid w:val="EB9D39C0"/>
    <w:rsid w:val="EFBB3249"/>
    <w:rsid w:val="F9CF998A"/>
    <w:rsid w:val="FFBD350F"/>
    <w:rsid w:val="FFCF64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0"/>
    <w:rPr>
      <w:rFonts w:ascii="等线" w:hAnsi="等线" w:eastAsia="等线"/>
      <w:kern w:val="2"/>
      <w:sz w:val="21"/>
      <w:szCs w:val="22"/>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仿宋_GB2312" w:hAnsi="仿宋_GB2312" w:eastAsia="仿宋_GB2312" w:cs="仿宋_GB2312"/>
      <w:sz w:val="24"/>
      <w:szCs w:val="24"/>
      <w:lang w:val="en-US" w:eastAsia="en-US" w:bidi="ar-SA"/>
    </w:rPr>
  </w:style>
  <w:style w:type="table" w:customStyle="1" w:styleId="10">
    <w:name w:val="Table Normal"/>
    <w:unhideWhenUsed/>
    <w:qFormat/>
    <w:uiPriority w:val="0"/>
    <w:tblPr>
      <w:tblStyle w:val="6"/>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builti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14</Pages>
  <Words>6325</Words>
  <Characters>7223</Characters>
  <Lines>0</Lines>
  <Paragraphs>0</Paragraphs>
  <TotalTime>23.3333333333333</TotalTime>
  <ScaleCrop>false</ScaleCrop>
  <LinksUpToDate>false</LinksUpToDate>
  <CharactersWithSpaces>7223</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zhaoxinlei</dc:creator>
  <cp:lastModifiedBy>Kicaz</cp:lastModifiedBy>
  <dcterms:modified xsi:type="dcterms:W3CDTF">2025-10-11T06:38:00Z</dcterms:modified>
  <dc:title>为贯彻落实《促进环保装备制造业高质量发展的若干意见》，加快推动我国环保技术装备创新发展，提升环保装备全产业链竞争优势，现组织开展重大环保技术装备创新揭榜挂帅工作。现将有关事项通知如下：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C961A0606DD44042A0F6DF7E93820DCE</vt:lpwstr>
  </property>
</Properties>
</file>